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73307677"/>
        <w:docPartObj>
          <w:docPartGallery w:val="Cover Pages"/>
          <w:docPartUnique/>
        </w:docPartObj>
      </w:sdtPr>
      <w:sdtEndPr>
        <w:rPr>
          <w:i/>
        </w:rPr>
      </w:sdtEndPr>
      <w:sdtContent>
        <w:p w:rsidR="00493F19" w:rsidRDefault="001B263C">
          <w:r>
            <w:rPr>
              <w:noProof/>
            </w:rPr>
            <mc:AlternateContent>
              <mc:Choice Requires="wps">
                <w:drawing>
                  <wp:anchor distT="0" distB="0" distL="114300" distR="114300" simplePos="0" relativeHeight="251660288" behindDoc="0" locked="0" layoutInCell="1" allowOverlap="1">
                    <wp:simplePos x="0" y="0"/>
                    <wp:positionH relativeFrom="page">
                      <wp:posOffset>5543551</wp:posOffset>
                    </wp:positionH>
                    <wp:positionV relativeFrom="page">
                      <wp:posOffset>381000</wp:posOffset>
                    </wp:positionV>
                    <wp:extent cx="1847850" cy="9277350"/>
                    <wp:effectExtent l="0" t="0" r="0"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92773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szCs w:val="32"/>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rsidR="00F112CE" w:rsidRPr="00B445B7" w:rsidRDefault="00B61868">
                                    <w:pPr>
                                      <w:pStyle w:val="Subtitle"/>
                                      <w:rPr>
                                        <w:rFonts w:cstheme="minorBidi"/>
                                        <w:b/>
                                        <w:color w:val="FFFFFF" w:themeColor="background1"/>
                                      </w:rPr>
                                    </w:pPr>
                                    <w:r>
                                      <w:rPr>
                                        <w:b/>
                                        <w:caps/>
                                        <w:color w:val="FFFFFF" w:themeColor="background1"/>
                                        <w:sz w:val="32"/>
                                        <w:szCs w:val="32"/>
                                      </w:rPr>
                                      <w:t>FEDERAL FISCAL YEAR 2021</w:t>
                                    </w:r>
                                    <w:r w:rsidR="00F112CE" w:rsidRPr="00B445B7">
                                      <w:rPr>
                                        <w:b/>
                                        <w:caps/>
                                        <w:color w:val="FFFFFF" w:themeColor="background1"/>
                                        <w:sz w:val="32"/>
                                        <w:szCs w:val="32"/>
                                      </w:rPr>
                                      <w:t xml:space="preserve"> CONSOLIDATED ANNUAL PERFORMANCE &amp; EVALUATION REPORT</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72" o:spid="_x0000_s1026" style="position:absolute;margin-left:436.5pt;margin-top:30pt;width:145.5pt;height:7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" fillcolor="#1f497d [3215]" stroked="f" strokeweight="2pt">
                    <v:path arrowok="t"/>
                    <v:textbox inset="14.4pt,,14.4pt">
                      <w:txbxContent>
                        <w:sdt>
                          <w:sdtPr>
                            <w:rPr>
                              <w:b/>
                              <w:caps/>
                              <w:color w:val="FFFFFF" w:themeColor="background1"/>
                              <w:sz w:val="32"/>
                              <w:szCs w:val="32"/>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rsidR="00F112CE" w:rsidRPr="00B445B7" w:rsidRDefault="00B61868">
                              <w:pPr>
                                <w:pStyle w:val="Subtitle"/>
                                <w:rPr>
                                  <w:rFonts w:cstheme="minorBidi"/>
                                  <w:b/>
                                  <w:color w:val="FFFFFF" w:themeColor="background1"/>
                                </w:rPr>
                              </w:pPr>
                              <w:r>
                                <w:rPr>
                                  <w:b/>
                                  <w:caps/>
                                  <w:color w:val="FFFFFF" w:themeColor="background1"/>
                                  <w:sz w:val="32"/>
                                  <w:szCs w:val="32"/>
                                </w:rPr>
                                <w:t>FEDERAL FISCAL YEAR 2021</w:t>
                              </w:r>
                              <w:r w:rsidR="00F112CE" w:rsidRPr="00B445B7">
                                <w:rPr>
                                  <w:b/>
                                  <w:caps/>
                                  <w:color w:val="FFFFFF" w:themeColor="background1"/>
                                  <w:sz w:val="32"/>
                                  <w:szCs w:val="32"/>
                                </w:rPr>
                                <w:t xml:space="preserve"> CONSOLIDATED ANNUAL PERFORMANCE &amp; EVALUATION REPORT</w:t>
                              </w:r>
                            </w:p>
                          </w:sdtContent>
                        </w:sdt>
                      </w:txbxContent>
                    </v:textbox>
                    <w10:wrap anchorx="page" anchory="page"/>
                  </v:rect>
                </w:pict>
              </mc:Fallback>
            </mc:AlternateContent>
          </w:r>
          <w:r w:rsidR="007F54D9">
            <w:rPr>
              <w:noProof/>
            </w:rPr>
            <mc:AlternateContent>
              <mc:Choice Requires="wps">
                <w:drawing>
                  <wp:anchor distT="0" distB="0" distL="114300" distR="114300" simplePos="0" relativeHeight="251659264" behindDoc="0" locked="0" layoutInCell="1" allowOverlap="1">
                    <wp:simplePos x="0" y="0"/>
                    <wp:positionH relativeFrom="page">
                      <wp:posOffset>381000</wp:posOffset>
                    </wp:positionH>
                    <wp:positionV relativeFrom="paragraph">
                      <wp:posOffset>-340995</wp:posOffset>
                    </wp:positionV>
                    <wp:extent cx="5125720" cy="9248775"/>
                    <wp:effectExtent l="0" t="0" r="0" b="9525"/>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5720" cy="9248775"/>
                            </a:xfrm>
                            <a:prstGeom prst="rect">
                              <a:avLst/>
                            </a:prstGeom>
                            <a:solidFill>
                              <a:schemeClr val="accent1"/>
                            </a:solidFill>
                            <a:ln>
                              <a:noFill/>
                            </a:ln>
                            <a:extLst/>
                          </wps:spPr>
                          <wps:txbx>
                            <w:txbxContent>
                              <w:sdt>
                                <w:sdtPr>
                                  <w:rPr>
                                    <w:caps/>
                                    <w:color w:val="FFFFFF" w:themeColor="background1"/>
                                    <w:sz w:val="80"/>
                                    <w:szCs w:val="80"/>
                                  </w:rPr>
                                  <w:alias w:val="Title"/>
                                  <w:id w:val="-1282951156"/>
                                  <w:dataBinding w:prefixMappings="xmlns:ns0='http://schemas.openxmlformats.org/package/2006/metadata/core-properties' xmlns:ns1='http://purl.org/dc/elements/1.1/'" w:xpath="/ns0:coreProperties[1]/ns1:title[1]" w:storeItemID="{6C3C8BC8-F283-45AE-878A-BAB7291924A1}"/>
                                  <w:text/>
                                </w:sdtPr>
                                <w:sdtContent>
                                  <w:p w:rsidR="00F112CE" w:rsidRDefault="00F112CE">
                                    <w:pPr>
                                      <w:pStyle w:val="Title"/>
                                      <w:jc w:val="right"/>
                                      <w:rPr>
                                        <w:caps/>
                                        <w:color w:val="FFFFFF" w:themeColor="background1"/>
                                        <w:sz w:val="80"/>
                                        <w:szCs w:val="80"/>
                                      </w:rPr>
                                    </w:pPr>
                                    <w:r>
                                      <w:rPr>
                                        <w:caps/>
                                        <w:color w:val="FFFFFF" w:themeColor="background1"/>
                                        <w:sz w:val="80"/>
                                        <w:szCs w:val="80"/>
                                      </w:rPr>
                                      <w:t>Town of Union New York</w:t>
                                    </w:r>
                                  </w:p>
                                </w:sdtContent>
                              </w:sdt>
                              <w:p w:rsidR="00F112CE" w:rsidRDefault="00F112CE">
                                <w:pPr>
                                  <w:spacing w:before="240"/>
                                  <w:ind w:left="720"/>
                                  <w:jc w:val="right"/>
                                  <w:rPr>
                                    <w:color w:val="FFFFFF" w:themeColor="background1"/>
                                  </w:rPr>
                                </w:pPr>
                              </w:p>
                              <w:p w:rsidR="00F112CE" w:rsidRPr="007F54D9" w:rsidRDefault="00F112CE" w:rsidP="007F54D9">
                                <w:pPr>
                                  <w:widowControl w:val="0"/>
                                  <w:spacing w:after="0"/>
                                  <w:ind w:left="450"/>
                                  <w:rPr>
                                    <w:color w:val="FFFFFF" w:themeColor="background1"/>
                                    <w:sz w:val="28"/>
                                    <w:szCs w:val="28"/>
                                  </w:rPr>
                                </w:pPr>
                                <w:r w:rsidRPr="007F54D9">
                                  <w:rPr>
                                    <w:color w:val="FFFFFF" w:themeColor="background1"/>
                                    <w:sz w:val="28"/>
                                    <w:szCs w:val="28"/>
                                  </w:rPr>
                                  <w:t>Prepared By: Town of Union Department of Planning</w:t>
                                </w:r>
                              </w:p>
                              <w:p w:rsidR="00F112CE" w:rsidRPr="007F54D9" w:rsidRDefault="00F112CE" w:rsidP="007F54D9">
                                <w:pPr>
                                  <w:widowControl w:val="0"/>
                                  <w:spacing w:after="0"/>
                                  <w:ind w:left="450"/>
                                  <w:rPr>
                                    <w:color w:val="FFFFFF" w:themeColor="background1"/>
                                    <w:sz w:val="28"/>
                                    <w:szCs w:val="28"/>
                                  </w:rPr>
                                </w:pPr>
                                <w:r w:rsidRPr="007F54D9">
                                  <w:rPr>
                                    <w:color w:val="FFFFFF" w:themeColor="background1"/>
                                    <w:sz w:val="28"/>
                                    <w:szCs w:val="28"/>
                                  </w:rPr>
                                  <w:t>3111 E. Main St.| Endwell, NY 13760</w:t>
                                </w:r>
                              </w:p>
                              <w:p w:rsidR="00F112CE" w:rsidRPr="007F54D9" w:rsidRDefault="00F112CE" w:rsidP="007F54D9">
                                <w:pPr>
                                  <w:widowControl w:val="0"/>
                                  <w:spacing w:after="0"/>
                                  <w:ind w:left="450"/>
                                  <w:rPr>
                                    <w:color w:val="FFFFFF" w:themeColor="background1"/>
                                    <w:sz w:val="28"/>
                                    <w:szCs w:val="28"/>
                                  </w:rPr>
                                </w:pPr>
                                <w:r>
                                  <w:rPr>
                                    <w:color w:val="FFFFFF" w:themeColor="background1"/>
                                    <w:sz w:val="28"/>
                                    <w:szCs w:val="28"/>
                                  </w:rPr>
                                  <w:t>Christopher Kylor</w:t>
                                </w:r>
                                <w:r w:rsidRPr="007F54D9">
                                  <w:rPr>
                                    <w:color w:val="FFFFFF" w:themeColor="background1"/>
                                    <w:sz w:val="28"/>
                                    <w:szCs w:val="28"/>
                                  </w:rPr>
                                  <w:t>, Planning Director</w:t>
                                </w:r>
                              </w:p>
                              <w:p w:rsidR="00F112CE" w:rsidRPr="007F54D9" w:rsidRDefault="00F112CE" w:rsidP="009D5CFD">
                                <w:pPr>
                                  <w:widowControl w:val="0"/>
                                  <w:spacing w:after="0"/>
                                  <w:rPr>
                                    <w:color w:val="FFFFFF" w:themeColor="background1"/>
                                    <w:sz w:val="28"/>
                                    <w:szCs w:val="28"/>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30pt;margin-top:-26.85pt;width:403.6pt;height:72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" fillcolor="#4f81bd [3204]" stroked="f">
                    <v:path arrowok="t"/>
                    <v:textbox inset="21.6pt,1in,21.6pt">
                      <w:txbxContent>
                        <w:sdt>
                          <w:sdtPr>
                            <w:rPr>
                              <w:caps/>
                              <w:color w:val="FFFFFF" w:themeColor="background1"/>
                              <w:sz w:val="80"/>
                              <w:szCs w:val="80"/>
                            </w:rPr>
                            <w:alias w:val="Title"/>
                            <w:id w:val="-1282951156"/>
                            <w:dataBinding w:prefixMappings="xmlns:ns0='http://schemas.openxmlformats.org/package/2006/metadata/core-properties' xmlns:ns1='http://purl.org/dc/elements/1.1/'" w:xpath="/ns0:coreProperties[1]/ns1:title[1]" w:storeItemID="{6C3C8BC8-F283-45AE-878A-BAB7291924A1}"/>
                            <w:text/>
                          </w:sdtPr>
                          <w:sdtContent>
                            <w:p w:rsidR="00F112CE" w:rsidRDefault="00F112CE">
                              <w:pPr>
                                <w:pStyle w:val="Title"/>
                                <w:jc w:val="right"/>
                                <w:rPr>
                                  <w:caps/>
                                  <w:color w:val="FFFFFF" w:themeColor="background1"/>
                                  <w:sz w:val="80"/>
                                  <w:szCs w:val="80"/>
                                </w:rPr>
                              </w:pPr>
                              <w:r>
                                <w:rPr>
                                  <w:caps/>
                                  <w:color w:val="FFFFFF" w:themeColor="background1"/>
                                  <w:sz w:val="80"/>
                                  <w:szCs w:val="80"/>
                                </w:rPr>
                                <w:t>Town of Union New York</w:t>
                              </w:r>
                            </w:p>
                          </w:sdtContent>
                        </w:sdt>
                        <w:p w:rsidR="00F112CE" w:rsidRDefault="00F112CE">
                          <w:pPr>
                            <w:spacing w:before="240"/>
                            <w:ind w:left="720"/>
                            <w:jc w:val="right"/>
                            <w:rPr>
                              <w:color w:val="FFFFFF" w:themeColor="background1"/>
                            </w:rPr>
                          </w:pPr>
                        </w:p>
                        <w:p w:rsidR="00F112CE" w:rsidRPr="007F54D9" w:rsidRDefault="00F112CE" w:rsidP="007F54D9">
                          <w:pPr>
                            <w:widowControl w:val="0"/>
                            <w:spacing w:after="0"/>
                            <w:ind w:left="450"/>
                            <w:rPr>
                              <w:color w:val="FFFFFF" w:themeColor="background1"/>
                              <w:sz w:val="28"/>
                              <w:szCs w:val="28"/>
                            </w:rPr>
                          </w:pPr>
                          <w:r w:rsidRPr="007F54D9">
                            <w:rPr>
                              <w:color w:val="FFFFFF" w:themeColor="background1"/>
                              <w:sz w:val="28"/>
                              <w:szCs w:val="28"/>
                            </w:rPr>
                            <w:t>Prepared By: Town of Union Department of Planning</w:t>
                          </w:r>
                        </w:p>
                        <w:p w:rsidR="00F112CE" w:rsidRPr="007F54D9" w:rsidRDefault="00F112CE" w:rsidP="007F54D9">
                          <w:pPr>
                            <w:widowControl w:val="0"/>
                            <w:spacing w:after="0"/>
                            <w:ind w:left="450"/>
                            <w:rPr>
                              <w:color w:val="FFFFFF" w:themeColor="background1"/>
                              <w:sz w:val="28"/>
                              <w:szCs w:val="28"/>
                            </w:rPr>
                          </w:pPr>
                          <w:r w:rsidRPr="007F54D9">
                            <w:rPr>
                              <w:color w:val="FFFFFF" w:themeColor="background1"/>
                              <w:sz w:val="28"/>
                              <w:szCs w:val="28"/>
                            </w:rPr>
                            <w:t>3111 E. Main St.| Endwell, NY 13760</w:t>
                          </w:r>
                        </w:p>
                        <w:p w:rsidR="00F112CE" w:rsidRPr="007F54D9" w:rsidRDefault="00F112CE" w:rsidP="007F54D9">
                          <w:pPr>
                            <w:widowControl w:val="0"/>
                            <w:spacing w:after="0"/>
                            <w:ind w:left="450"/>
                            <w:rPr>
                              <w:color w:val="FFFFFF" w:themeColor="background1"/>
                              <w:sz w:val="28"/>
                              <w:szCs w:val="28"/>
                            </w:rPr>
                          </w:pPr>
                          <w:r>
                            <w:rPr>
                              <w:color w:val="FFFFFF" w:themeColor="background1"/>
                              <w:sz w:val="28"/>
                              <w:szCs w:val="28"/>
                            </w:rPr>
                            <w:t>Christopher Kylor</w:t>
                          </w:r>
                          <w:r w:rsidRPr="007F54D9">
                            <w:rPr>
                              <w:color w:val="FFFFFF" w:themeColor="background1"/>
                              <w:sz w:val="28"/>
                              <w:szCs w:val="28"/>
                            </w:rPr>
                            <w:t>, Planning Director</w:t>
                          </w:r>
                        </w:p>
                        <w:p w:rsidR="00F112CE" w:rsidRPr="007F54D9" w:rsidRDefault="00F112CE" w:rsidP="009D5CFD">
                          <w:pPr>
                            <w:widowControl w:val="0"/>
                            <w:spacing w:after="0"/>
                            <w:rPr>
                              <w:color w:val="FFFFFF" w:themeColor="background1"/>
                              <w:sz w:val="28"/>
                              <w:szCs w:val="28"/>
                            </w:rPr>
                          </w:pPr>
                        </w:p>
                      </w:txbxContent>
                    </v:textbox>
                    <w10:wrap anchorx="page"/>
                  </v:rect>
                </w:pict>
              </mc:Fallback>
            </mc:AlternateContent>
          </w:r>
        </w:p>
        <w:p w:rsidR="00493F19" w:rsidRDefault="00D44C01">
          <w:r>
            <w:rPr>
              <w:noProof/>
            </w:rPr>
            <mc:AlternateContent>
              <mc:Choice Requires="wps">
                <w:drawing>
                  <wp:anchor distT="0" distB="0" distL="114300" distR="114300" simplePos="0" relativeHeight="251661312" behindDoc="0" locked="0" layoutInCell="1" allowOverlap="1">
                    <wp:simplePos x="0" y="0"/>
                    <wp:positionH relativeFrom="column">
                      <wp:posOffset>649605</wp:posOffset>
                    </wp:positionH>
                    <wp:positionV relativeFrom="paragraph">
                      <wp:posOffset>297815</wp:posOffset>
                    </wp:positionV>
                    <wp:extent cx="1447800" cy="590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447800" cy="590550"/>
                            </a:xfrm>
                            <a:prstGeom prst="rect">
                              <a:avLst/>
                            </a:prstGeom>
                            <a:solidFill>
                              <a:schemeClr val="lt1"/>
                            </a:solidFill>
                            <a:ln w="6350">
                              <a:solidFill>
                                <a:prstClr val="black"/>
                              </a:solidFill>
                            </a:ln>
                          </wps:spPr>
                          <wps:txbx>
                            <w:txbxContent>
                              <w:p w:rsidR="00D44C01" w:rsidRPr="00D44C01" w:rsidRDefault="00D44C01">
                                <w:pPr>
                                  <w:rPr>
                                    <w:sz w:val="72"/>
                                    <w:szCs w:val="72"/>
                                  </w:rPr>
                                </w:pPr>
                                <w:r w:rsidRPr="00D44C01">
                                  <w:rPr>
                                    <w:sz w:val="72"/>
                                    <w:szCs w:val="72"/>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15pt;margin-top:23.45pt;width:114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" fillcolor="white [3201]" strokeweight=".5pt">
                    <v:textbox>
                      <w:txbxContent>
                        <w:p w:rsidR="00D44C01" w:rsidRPr="00D44C01" w:rsidRDefault="00D44C01">
                          <w:pPr>
                            <w:rPr>
                              <w:sz w:val="72"/>
                              <w:szCs w:val="72"/>
                            </w:rPr>
                          </w:pPr>
                          <w:r w:rsidRPr="00D44C01">
                            <w:rPr>
                              <w:sz w:val="72"/>
                              <w:szCs w:val="72"/>
                            </w:rPr>
                            <w:t>DRAFT</w:t>
                          </w:r>
                        </w:p>
                      </w:txbxContent>
                    </v:textbox>
                  </v:shape>
                </w:pict>
              </mc:Fallback>
            </mc:AlternateContent>
          </w:r>
        </w:p>
        <w:p w:rsidR="00493F19" w:rsidRDefault="00493F19">
          <w:pPr>
            <w:spacing w:after="0" w:line="240" w:lineRule="auto"/>
            <w:rPr>
              <w:rFonts w:cs="Arial"/>
              <w:b/>
              <w:bCs/>
              <w:iCs/>
              <w:sz w:val="28"/>
              <w:szCs w:val="28"/>
            </w:rPr>
          </w:pPr>
          <w:r>
            <w:rPr>
              <w:i/>
            </w:rPr>
            <w:br w:type="page"/>
          </w:r>
        </w:p>
      </w:sdtContent>
    </w:sdt>
    <w:p w:rsidR="003F4A54" w:rsidRDefault="003F4A54">
      <w:pPr>
        <w:pStyle w:val="Heading2"/>
        <w:rPr>
          <w:rFonts w:ascii="Calibri" w:hAnsi="Calibri"/>
          <w:i w:val="0"/>
        </w:rPr>
      </w:pPr>
    </w:p>
    <w:p w:rsidR="003F4A54" w:rsidRDefault="003F4A54">
      <w:pPr>
        <w:spacing w:after="0" w:line="240" w:lineRule="auto"/>
        <w:rPr>
          <w:rFonts w:cs="Arial"/>
          <w:b/>
          <w:bCs/>
          <w:iCs/>
          <w:sz w:val="28"/>
          <w:szCs w:val="28"/>
        </w:rPr>
      </w:pPr>
      <w:r>
        <w:rPr>
          <w:i/>
        </w:rPr>
        <w:br w:type="page"/>
      </w:r>
    </w:p>
    <w:p w:rsidR="00E32F09" w:rsidRDefault="00550C26">
      <w:pPr>
        <w:pStyle w:val="Heading2"/>
        <w:rPr>
          <w:rFonts w:ascii="Calibri" w:hAnsi="Calibri"/>
          <w:i w:val="0"/>
        </w:rPr>
      </w:pPr>
      <w:r>
        <w:rPr>
          <w:rFonts w:ascii="Calibri" w:hAnsi="Calibri"/>
          <w:i w:val="0"/>
        </w:rPr>
        <w:lastRenderedPageBreak/>
        <w:t>CR-05 - Goals and Outcomes</w:t>
      </w:r>
    </w:p>
    <w:p w:rsidR="00E32F09" w:rsidRDefault="00550C26">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rsidR="00E32F09" w:rsidRDefault="00550C26">
      <w:pPr>
        <w:keepNext/>
        <w:widowControl w:val="0"/>
        <w:spacing w:after="0" w:line="240" w:lineRule="auto"/>
      </w:pPr>
      <w:r>
        <w:t>This could be an overview that includes major initiatives and highlights that were proposed and executed throughout the program year.</w:t>
      </w:r>
    </w:p>
    <w:p w:rsidR="00E32F09" w:rsidRDefault="00550C26">
      <w:pPr>
        <w:widowControl w:val="0"/>
        <w:spacing w:beforeAutospacing="1" w:afterAutospacing="1"/>
        <w:rPr>
          <w:szCs w:val="24"/>
        </w:rPr>
      </w:pPr>
      <w:r>
        <w:rPr>
          <w:b/>
          <w:i/>
          <w:u w:val="single"/>
        </w:rPr>
        <w:t>Housing Affordability</w:t>
      </w:r>
    </w:p>
    <w:p w:rsidR="00E32F09" w:rsidRDefault="009E60E6">
      <w:pPr>
        <w:widowControl w:val="0"/>
        <w:spacing w:beforeAutospacing="1" w:afterAutospacing="1"/>
        <w:rPr>
          <w:szCs w:val="24"/>
        </w:rPr>
      </w:pPr>
      <w:r>
        <w:t>As of December 1, 2022, 297</w:t>
      </w:r>
      <w:r w:rsidR="00550C26">
        <w:t xml:space="preserve"> households were under lease in the town’s Section 8 Housing Choice Voucher program.</w:t>
      </w:r>
      <w:r w:rsidR="00550C26">
        <w:br/>
      </w:r>
      <w:r>
        <w:rPr>
          <w:b/>
          <w:i/>
          <w:u w:val="single"/>
        </w:rPr>
        <w:br/>
      </w:r>
      <w:r w:rsidR="00550C26">
        <w:rPr>
          <w:b/>
          <w:i/>
          <w:u w:val="single"/>
        </w:rPr>
        <w:t>Homeownership</w:t>
      </w:r>
    </w:p>
    <w:p w:rsidR="00E32F09" w:rsidRPr="00977216" w:rsidRDefault="00550C26">
      <w:pPr>
        <w:widowControl w:val="0"/>
        <w:spacing w:beforeAutospacing="1" w:afterAutospacing="1"/>
      </w:pPr>
      <w:r>
        <w:t>During the past ye</w:t>
      </w:r>
      <w:r w:rsidR="00977216">
        <w:t>ar, the Town of Union did not provide assistance for First Time Home Buyers</w:t>
      </w:r>
      <w:r>
        <w:t>.</w:t>
      </w:r>
      <w:r w:rsidR="00977216">
        <w:br/>
      </w:r>
      <w:r>
        <w:br/>
      </w:r>
      <w:r>
        <w:rPr>
          <w:b/>
          <w:i/>
          <w:u w:val="single"/>
        </w:rPr>
        <w:t>Preservation of Housing Stock</w:t>
      </w:r>
    </w:p>
    <w:p w:rsidR="00E32F09" w:rsidRDefault="00977216">
      <w:pPr>
        <w:widowControl w:val="0"/>
        <w:spacing w:beforeAutospacing="1" w:afterAutospacing="1"/>
        <w:rPr>
          <w:szCs w:val="24"/>
        </w:rPr>
      </w:pPr>
      <w:r>
        <w:t>Using $</w:t>
      </w:r>
      <w:r w:rsidR="0016480C" w:rsidRPr="00BE6414">
        <w:t>15,402</w:t>
      </w:r>
      <w:r w:rsidR="0016480C">
        <w:t> </w:t>
      </w:r>
      <w:r w:rsidR="00550C26">
        <w:t>in CD</w:t>
      </w:r>
      <w:r w:rsidR="0016480C">
        <w:t>BG funding, the town assisted three (3)</w:t>
      </w:r>
      <w:r w:rsidR="00550C26">
        <w:t xml:space="preserve"> low/mod-income single-fam</w:t>
      </w:r>
      <w:r w:rsidR="0016480C">
        <w:t xml:space="preserve">ily homeowners with </w:t>
      </w:r>
      <w:proofErr w:type="spellStart"/>
      <w:r w:rsidR="0016480C">
        <w:t>with</w:t>
      </w:r>
      <w:proofErr w:type="spellEnd"/>
      <w:r w:rsidR="0016480C">
        <w:t xml:space="preserve"> Asbestos and Lead testing services</w:t>
      </w:r>
      <w:r w:rsidR="00550C26">
        <w:t>.</w:t>
      </w:r>
      <w:r w:rsidR="0016480C">
        <w:t xml:space="preserve"> 3 projects are still open and ongoing at this time. </w:t>
      </w:r>
      <w:r w:rsidR="00A00D5C">
        <w:t xml:space="preserve">The Town of Union also </w:t>
      </w:r>
      <w:r w:rsidR="005A7341">
        <w:t>provided $72,000 to a</w:t>
      </w:r>
      <w:r w:rsidR="00A00D5C">
        <w:t xml:space="preserve"> </w:t>
      </w:r>
      <w:r w:rsidR="005A7341">
        <w:t xml:space="preserve">multi-unit housing complex for low/mod, elderly and disabled residents.  </w:t>
      </w:r>
      <w:r w:rsidR="00B73E07">
        <w:br/>
      </w:r>
      <w:r w:rsidR="00550C26">
        <w:br/>
      </w:r>
      <w:r w:rsidR="00550C26">
        <w:rPr>
          <w:b/>
          <w:i/>
          <w:u w:val="single"/>
        </w:rPr>
        <w:t>Elderly Housing/Support</w:t>
      </w:r>
    </w:p>
    <w:p w:rsidR="00E32F09" w:rsidRDefault="00550C26">
      <w:pPr>
        <w:widowControl w:val="0"/>
        <w:spacing w:beforeAutospacing="1" w:afterAutospacing="1"/>
        <w:rPr>
          <w:szCs w:val="24"/>
        </w:rPr>
      </w:pPr>
      <w:r>
        <w:t xml:space="preserve">The First Ward Action Council completed minor </w:t>
      </w:r>
      <w:r w:rsidR="00EA34A8">
        <w:t>home improvements/repairs for 71</w:t>
      </w:r>
      <w:r>
        <w:t xml:space="preserve"> seniors durin</w:t>
      </w:r>
      <w:r w:rsidR="00977216">
        <w:t>g the program year utilizing $20</w:t>
      </w:r>
      <w:r>
        <w:t xml:space="preserve">,000 in CDBG funds. </w:t>
      </w:r>
      <w:r w:rsidR="00087C6B">
        <w:br/>
      </w:r>
      <w:r>
        <w:br/>
      </w:r>
      <w:r>
        <w:rPr>
          <w:b/>
          <w:i/>
          <w:u w:val="single"/>
        </w:rPr>
        <w:t>Special Needs/Support Services</w:t>
      </w:r>
    </w:p>
    <w:p w:rsidR="00E32F09" w:rsidRDefault="00550C26">
      <w:pPr>
        <w:widowControl w:val="0"/>
        <w:spacing w:beforeAutospacing="1" w:afterAutospacing="1"/>
        <w:rPr>
          <w:szCs w:val="24"/>
        </w:rPr>
      </w:pPr>
      <w:r>
        <w:t xml:space="preserve">The town provided </w:t>
      </w:r>
      <w:r w:rsidR="00087C6B">
        <w:t xml:space="preserve">$25,000 </w:t>
      </w:r>
      <w:r>
        <w:t xml:space="preserve">CDBG funding to Catholic Charities in support of its Teen Transitional Living Program which serves runaway teens. </w:t>
      </w:r>
      <w:r w:rsidR="00977216">
        <w:br/>
      </w:r>
      <w:r>
        <w:br/>
      </w:r>
      <w:r>
        <w:rPr>
          <w:b/>
          <w:i/>
          <w:u w:val="single"/>
        </w:rPr>
        <w:t>Homeless Housing and Support Services</w:t>
      </w:r>
      <w:r w:rsidR="00977216">
        <w:br/>
        <w:t>$24</w:t>
      </w:r>
      <w:r>
        <w:t>,000 in CDB</w:t>
      </w:r>
      <w:r w:rsidR="00977216">
        <w:t>G funding was used to provide assistance to recently released incarcerated Town of Union residence with re-entry assistance</w:t>
      </w:r>
      <w:r w:rsidR="001256A9">
        <w:t xml:space="preserve"> through the Family Enrichment Network</w:t>
      </w:r>
      <w:r w:rsidR="00977216">
        <w:t xml:space="preserve">. </w:t>
      </w:r>
    </w:p>
    <w:p w:rsidR="00E32F09" w:rsidRDefault="00550C26">
      <w:pPr>
        <w:widowControl w:val="0"/>
        <w:spacing w:beforeAutospacing="1" w:afterAutospacing="1"/>
        <w:rPr>
          <w:szCs w:val="24"/>
        </w:rPr>
      </w:pPr>
      <w:r>
        <w:rPr>
          <w:b/>
          <w:i/>
          <w:u w:val="single"/>
        </w:rPr>
        <w:t>Neighborhood Preservation</w:t>
      </w:r>
    </w:p>
    <w:p w:rsidR="00E32F09" w:rsidRDefault="00977216">
      <w:pPr>
        <w:widowControl w:val="0"/>
        <w:spacing w:beforeAutospacing="1" w:afterAutospacing="1"/>
        <w:rPr>
          <w:szCs w:val="24"/>
        </w:rPr>
      </w:pPr>
      <w:r>
        <w:t>$</w:t>
      </w:r>
      <w:r w:rsidR="00A81BEA">
        <w:t>1,436,662.64</w:t>
      </w:r>
      <w:r w:rsidR="00550C26">
        <w:t xml:space="preserve"> in CDBG funds was expended for reconstruction of the following streets in CDBG eligi</w:t>
      </w:r>
      <w:r>
        <w:t xml:space="preserve">ble census tracts: </w:t>
      </w:r>
      <w:r w:rsidR="00A81BEA">
        <w:t xml:space="preserve">North Page Ave (Railroad to W. Franklin St.), Mills Ave (W. Franklin St. to Maple St.), Franklin St. (Mills Ave to North Page Ave); </w:t>
      </w:r>
      <w:r>
        <w:t>Odell a</w:t>
      </w:r>
      <w:r w:rsidR="00A81BEA">
        <w:t xml:space="preserve">nd Oak Hill </w:t>
      </w:r>
      <w:proofErr w:type="spellStart"/>
      <w:r w:rsidR="00A81BEA">
        <w:t>Avnue</w:t>
      </w:r>
      <w:proofErr w:type="spellEnd"/>
      <w:r w:rsidR="00A81BEA">
        <w:t>, Endicott; Shady Drive, Endwell; and</w:t>
      </w:r>
      <w:r>
        <w:t xml:space="preserve"> Grand Ave. (</w:t>
      </w:r>
      <w:r w:rsidR="00550C26">
        <w:t xml:space="preserve"> </w:t>
      </w:r>
      <w:r>
        <w:t xml:space="preserve">Hudson St. to Harrison St.), </w:t>
      </w:r>
      <w:r w:rsidR="00550C26">
        <w:t>Johnson City.</w:t>
      </w:r>
    </w:p>
    <w:p w:rsidR="00E32F09" w:rsidRDefault="00550C26">
      <w:pPr>
        <w:widowControl w:val="0"/>
        <w:spacing w:beforeAutospacing="1" w:afterAutospacing="1"/>
        <w:rPr>
          <w:szCs w:val="24"/>
        </w:rPr>
      </w:pPr>
      <w:r>
        <w:t>There were two demolition projects in the current program yea</w:t>
      </w:r>
      <w:r w:rsidR="00977216">
        <w:t xml:space="preserve">r.  A condemned building at </w:t>
      </w:r>
      <w:r w:rsidR="00B20399">
        <w:t>303 Oakdale Rd. in Johnson City</w:t>
      </w:r>
      <w:r w:rsidR="000808E9">
        <w:t xml:space="preserve"> was demolished utilizing $12,276.48</w:t>
      </w:r>
      <w:r>
        <w:t xml:space="preserve"> in CDBG funds. The second building that was demolished was a </w:t>
      </w:r>
      <w:r w:rsidR="00B20399">
        <w:t xml:space="preserve">condemned property at 43 Endicott Ave. </w:t>
      </w:r>
      <w:r>
        <w:t xml:space="preserve">in </w:t>
      </w:r>
      <w:r w:rsidR="000808E9">
        <w:t>Johnson City at a cost of $21,111.00</w:t>
      </w:r>
      <w:r>
        <w:t>.</w:t>
      </w:r>
      <w:r>
        <w:br/>
      </w:r>
    </w:p>
    <w:p w:rsidR="00E32F09" w:rsidRDefault="00550C26">
      <w:pPr>
        <w:widowControl w:val="0"/>
        <w:spacing w:beforeAutospacing="1" w:afterAutospacing="1"/>
        <w:rPr>
          <w:szCs w:val="24"/>
        </w:rPr>
      </w:pPr>
      <w:r>
        <w:rPr>
          <w:b/>
          <w:i/>
          <w:u w:val="single"/>
        </w:rPr>
        <w:t>Public Services</w:t>
      </w:r>
    </w:p>
    <w:p w:rsidR="00E32F09" w:rsidRDefault="00550C26">
      <w:pPr>
        <w:widowControl w:val="0"/>
        <w:spacing w:beforeAutospacing="1" w:afterAutospacing="1"/>
        <w:rPr>
          <w:szCs w:val="24"/>
        </w:rPr>
      </w:pPr>
      <w:r>
        <w:t>Ten organ</w:t>
      </w:r>
      <w:r w:rsidR="00977216">
        <w:t>izations were assisted with $195,000</w:t>
      </w:r>
      <w:r>
        <w:t xml:space="preserve"> (</w:t>
      </w:r>
      <w:r w:rsidR="004566F0">
        <w:t>8</w:t>
      </w:r>
      <w:r>
        <w:t>% of overall expenditures) in CDBG public service funding.  Criteria used in selecting agencies for funding include the community needs to be addressed by the agency, the ability of the proposed program to meet those needs, the availability of alternative resources to meet the needs, and the cost-effectiveness of the proposal.</w:t>
      </w:r>
      <w:r w:rsidR="004566F0">
        <w:br/>
      </w:r>
      <w:r>
        <w:t xml:space="preserve"> </w:t>
      </w:r>
      <w:r>
        <w:br/>
      </w:r>
      <w:r>
        <w:rPr>
          <w:b/>
          <w:i/>
          <w:u w:val="single"/>
        </w:rPr>
        <w:t>ADA Enhancements</w:t>
      </w:r>
    </w:p>
    <w:p w:rsidR="00E32F09" w:rsidRDefault="00550C26">
      <w:pPr>
        <w:widowControl w:val="0"/>
        <w:spacing w:beforeAutospacing="1" w:afterAutospacing="1"/>
        <w:rPr>
          <w:szCs w:val="24"/>
        </w:rPr>
      </w:pPr>
      <w:r>
        <w:t>There were no funds expended during the current reporting year.</w:t>
      </w:r>
      <w:r>
        <w:br/>
      </w:r>
      <w:r>
        <w:rPr>
          <w:b/>
          <w:i/>
          <w:u w:val="single"/>
        </w:rPr>
        <w:t>Historic Preservation</w:t>
      </w:r>
    </w:p>
    <w:p w:rsidR="00E32F09" w:rsidRDefault="00550C26">
      <w:pPr>
        <w:widowControl w:val="0"/>
        <w:spacing w:beforeAutospacing="1" w:afterAutospacing="1"/>
        <w:rPr>
          <w:szCs w:val="24"/>
        </w:rPr>
      </w:pPr>
      <w:r>
        <w:t>There were no funds expended during the current reporting year.</w:t>
      </w:r>
    </w:p>
    <w:p w:rsidR="00E32F09" w:rsidRDefault="00550C26">
      <w:pPr>
        <w:widowControl w:val="0"/>
        <w:spacing w:beforeAutospacing="1" w:afterAutospacing="1"/>
        <w:rPr>
          <w:szCs w:val="24"/>
        </w:rPr>
      </w:pPr>
      <w:r>
        <w:rPr>
          <w:b/>
          <w:i/>
          <w:u w:val="single"/>
        </w:rPr>
        <w:t>Economic Sustainability</w:t>
      </w:r>
    </w:p>
    <w:p w:rsidR="00E32F09" w:rsidRDefault="00550C26">
      <w:pPr>
        <w:widowControl w:val="0"/>
        <w:spacing w:beforeAutospacing="1" w:afterAutospacing="1"/>
        <w:rPr>
          <w:szCs w:val="24"/>
        </w:rPr>
      </w:pPr>
      <w:r>
        <w:t>$</w:t>
      </w:r>
      <w:r w:rsidR="00A00D5C" w:rsidRPr="00BE6414">
        <w:t>17,659.37</w:t>
      </w:r>
      <w:r w:rsidR="00A00D5C" w:rsidRPr="00A00D5C">
        <w:t xml:space="preserve"> </w:t>
      </w:r>
      <w:r>
        <w:t>was expended for Economic Development technical assistance including proj</w:t>
      </w:r>
      <w:r w:rsidR="00A00D5C">
        <w:t>ect delivery costs.</w:t>
      </w:r>
      <w:r w:rsidR="00A00D5C">
        <w:br/>
        <w:t>The Town of Union LDC provided</w:t>
      </w:r>
      <w:r w:rsidR="00977216">
        <w:t xml:space="preserve"> $</w:t>
      </w:r>
      <w:r w:rsidR="00A00D5C">
        <w:t>77,310 for direct assistance to for profit organizations/businesses, 17659.37 technical assistance</w:t>
      </w:r>
      <w:r>
        <w:t>.</w:t>
      </w:r>
    </w:p>
    <w:p w:rsidR="00E32F09" w:rsidRDefault="00550C26">
      <w:pPr>
        <w:widowControl w:val="0"/>
        <w:spacing w:beforeAutospacing="1" w:afterAutospacing="1"/>
        <w:rPr>
          <w:szCs w:val="24"/>
        </w:rPr>
      </w:pPr>
      <w:r>
        <w:rPr>
          <w:b/>
          <w:i/>
          <w:u w:val="single"/>
        </w:rPr>
        <w:t>Fair Housing Education</w:t>
      </w:r>
    </w:p>
    <w:p w:rsidR="00E32F09" w:rsidRDefault="00977216">
      <w:pPr>
        <w:widowControl w:val="0"/>
        <w:spacing w:beforeAutospacing="1" w:afterAutospacing="1"/>
        <w:rPr>
          <w:szCs w:val="24"/>
        </w:rPr>
      </w:pPr>
      <w:r>
        <w:t>$</w:t>
      </w:r>
      <w:r w:rsidR="002A3AD6" w:rsidRPr="002A3AD6">
        <w:t>250.98</w:t>
      </w:r>
      <w:r w:rsidR="00550C26">
        <w:t xml:space="preserve"> in CDBG funding was expended for FHEO outreach advertising.</w:t>
      </w:r>
      <w:r w:rsidR="002A3AD6">
        <w:br/>
      </w:r>
      <w:r w:rsidR="00550C26">
        <w:br/>
      </w:r>
      <w:r w:rsidR="00550C26">
        <w:rPr>
          <w:b/>
          <w:i/>
          <w:u w:val="single"/>
        </w:rPr>
        <w:t>Lead Based Paint Education</w:t>
      </w:r>
    </w:p>
    <w:p w:rsidR="00E32F09" w:rsidRDefault="00550C26">
      <w:pPr>
        <w:widowControl w:val="0"/>
        <w:spacing w:beforeAutospacing="1" w:afterAutospacing="1"/>
        <w:rPr>
          <w:szCs w:val="24"/>
        </w:rPr>
      </w:pPr>
      <w:r>
        <w:t xml:space="preserve">Lead paint brochures were distributed to all participants in the First Time Home Buyer, Home Improvement, and Section 8 programs. </w:t>
      </w:r>
      <w:r w:rsidR="002A3AD6">
        <w:br/>
      </w:r>
      <w:r>
        <w:br/>
      </w:r>
      <w:r>
        <w:rPr>
          <w:b/>
          <w:i/>
          <w:u w:val="single"/>
        </w:rPr>
        <w:t>Program Administration</w:t>
      </w:r>
    </w:p>
    <w:p w:rsidR="009A7E06" w:rsidRPr="009A7E06" w:rsidRDefault="00550C26" w:rsidP="009A7E06">
      <w:pPr>
        <w:spacing w:after="0" w:line="240" w:lineRule="auto"/>
        <w:rPr>
          <w:rFonts w:ascii="Arial" w:eastAsia="Times New Roman" w:hAnsi="Arial" w:cs="Arial"/>
          <w:color w:val="000000"/>
          <w:sz w:val="20"/>
          <w:szCs w:val="20"/>
        </w:rPr>
      </w:pPr>
      <w:r>
        <w:t>$</w:t>
      </w:r>
      <w:r w:rsidR="009A7E06">
        <w:rPr>
          <w:rFonts w:ascii="Arial" w:eastAsia="Times New Roman" w:hAnsi="Arial" w:cs="Arial"/>
          <w:color w:val="000000"/>
          <w:sz w:val="20"/>
          <w:szCs w:val="20"/>
        </w:rPr>
        <w:t>242,130.23</w:t>
      </w:r>
      <w:r w:rsidR="009A7E06">
        <w:t xml:space="preserve"> </w:t>
      </w:r>
      <w:r>
        <w:t>was expended for adm</w:t>
      </w:r>
      <w:r w:rsidR="00D977B0">
        <w:t>inistrative/planning costs (</w:t>
      </w:r>
      <w:r w:rsidR="00BE6414" w:rsidRPr="00BE6414">
        <w:t>18.75</w:t>
      </w:r>
      <w:r w:rsidRPr="00BE6414">
        <w:t>%</w:t>
      </w:r>
      <w:r w:rsidR="00D977B0">
        <w:t>)</w:t>
      </w:r>
      <w:r w:rsidR="00BE6414">
        <w:t xml:space="preserve"> </w:t>
      </w:r>
      <w:r>
        <w:t>of total expenditures).</w:t>
      </w:r>
      <w:r w:rsidR="009A7E06" w:rsidRPr="009A7E06">
        <w:rPr>
          <w:rFonts w:ascii="Arial" w:hAnsi="Arial" w:cs="Arial"/>
          <w:color w:val="000000"/>
          <w:sz w:val="20"/>
          <w:szCs w:val="20"/>
        </w:rPr>
        <w:t xml:space="preserve"> </w:t>
      </w:r>
    </w:p>
    <w:p w:rsidR="00E32F09" w:rsidRPr="00BE6414" w:rsidRDefault="00E32F09">
      <w:pPr>
        <w:widowControl w:val="0"/>
        <w:spacing w:beforeAutospacing="1" w:afterAutospacing="1"/>
      </w:pPr>
    </w:p>
    <w:p w:rsidR="00E32F09" w:rsidRDefault="00550C26">
      <w:pPr>
        <w:keepNext/>
        <w:widowControl w:val="0"/>
        <w:spacing w:after="0" w:line="240" w:lineRule="auto"/>
        <w:rPr>
          <w:b/>
          <w:sz w:val="24"/>
          <w:szCs w:val="24"/>
        </w:rPr>
      </w:pPr>
      <w:r>
        <w:rPr>
          <w:b/>
          <w:sz w:val="24"/>
          <w:szCs w:val="24"/>
        </w:rPr>
        <w:t>Comparison of the proposed versus actual outcomes for each outcome measure submitted with the consolidated plan and explain, if applicable, why progress was not made toward meeting goals and objectives.  91.520(g)</w:t>
      </w:r>
    </w:p>
    <w:p w:rsidR="00E32F09" w:rsidRDefault="00550C26">
      <w:pPr>
        <w:keepNext/>
        <w:widowControl w:val="0"/>
        <w:spacing w:after="0" w:line="240" w:lineRule="auto"/>
        <w:rPr>
          <w:szCs w:val="24"/>
        </w:rPr>
      </w:pPr>
      <w:r>
        <w:t>Categories, priority levels, funding sources and amounts, outcomes/objectives, goal outcome indicators, units of measure, targets, actual outcomes/outputs, and percentage completed for each of the grantee’s program year goals.</w:t>
      </w:r>
    </w:p>
    <w:p w:rsidR="00E32F09" w:rsidRDefault="00E32F09">
      <w:pPr>
        <w:widowControl w:val="0"/>
        <w:rPr>
          <w:b/>
          <w:sz w:val="24"/>
          <w:szCs w:val="24"/>
        </w:rPr>
      </w:pPr>
    </w:p>
    <w:tbl>
      <w:tblPr>
        <w:tblStyle w:val="GridTable5Dark-Accent1"/>
        <w:tblW w:w="4957" w:type="pct"/>
        <w:tblInd w:w="85" w:type="dxa"/>
        <w:tblLook w:val="04A0" w:firstRow="1" w:lastRow="0" w:firstColumn="1" w:lastColumn="0" w:noHBand="0" w:noVBand="1"/>
      </w:tblPr>
      <w:tblGrid>
        <w:gridCol w:w="1607"/>
        <w:gridCol w:w="1005"/>
        <w:gridCol w:w="645"/>
        <w:gridCol w:w="1530"/>
        <w:gridCol w:w="837"/>
        <w:gridCol w:w="702"/>
        <w:gridCol w:w="682"/>
        <w:gridCol w:w="730"/>
        <w:gridCol w:w="702"/>
        <w:gridCol w:w="671"/>
        <w:gridCol w:w="730"/>
      </w:tblGrid>
      <w:tr w:rsidR="002B2C92" w:rsidTr="00CB61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keepNext/>
              <w:widowControl w:val="0"/>
              <w:spacing w:after="0" w:line="240" w:lineRule="auto"/>
              <w:rPr>
                <w:b w:val="0"/>
                <w:sz w:val="18"/>
                <w:szCs w:val="18"/>
              </w:rPr>
            </w:pPr>
            <w:r w:rsidRPr="002B2C92">
              <w:rPr>
                <w:b w:val="0"/>
                <w:sz w:val="18"/>
                <w:szCs w:val="18"/>
              </w:rPr>
              <w:t>Goal</w:t>
            </w:r>
          </w:p>
        </w:tc>
        <w:tc>
          <w:tcPr>
            <w:tcW w:w="511" w:type="pct"/>
          </w:tcPr>
          <w:p w:rsidR="00E32F09" w:rsidRPr="002B2C92" w:rsidRDefault="00550C26">
            <w:pPr>
              <w:keepNext/>
              <w:widowControl w:val="0"/>
              <w:spacing w:after="0" w:line="240"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2B2C92">
              <w:rPr>
                <w:b w:val="0"/>
                <w:sz w:val="18"/>
                <w:szCs w:val="18"/>
              </w:rPr>
              <w:t>Category</w:t>
            </w:r>
          </w:p>
        </w:tc>
        <w:tc>
          <w:tcPr>
            <w:tcW w:w="328" w:type="pct"/>
          </w:tcPr>
          <w:p w:rsidR="00E32F09" w:rsidRPr="002B2C92" w:rsidRDefault="00550C26">
            <w:pPr>
              <w:keepNext/>
              <w:widowControl w:val="0"/>
              <w:spacing w:after="0" w:line="240"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2B2C92">
              <w:rPr>
                <w:b w:val="0"/>
                <w:sz w:val="18"/>
                <w:szCs w:val="18"/>
              </w:rPr>
              <w:t>Source / Amount</w:t>
            </w:r>
          </w:p>
        </w:tc>
        <w:tc>
          <w:tcPr>
            <w:tcW w:w="777" w:type="pct"/>
          </w:tcPr>
          <w:p w:rsidR="00E32F09" w:rsidRPr="002B2C92" w:rsidRDefault="00550C26">
            <w:pPr>
              <w:keepNext/>
              <w:widowControl w:val="0"/>
              <w:spacing w:after="0" w:line="240"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2B2C92">
              <w:rPr>
                <w:b w:val="0"/>
                <w:sz w:val="18"/>
                <w:szCs w:val="18"/>
              </w:rPr>
              <w:t>Indicator</w:t>
            </w:r>
          </w:p>
        </w:tc>
        <w:tc>
          <w:tcPr>
            <w:tcW w:w="425" w:type="pct"/>
          </w:tcPr>
          <w:p w:rsidR="00E32F09" w:rsidRPr="002B2C92" w:rsidRDefault="00550C26">
            <w:pPr>
              <w:keepNext/>
              <w:widowControl w:val="0"/>
              <w:spacing w:after="0" w:line="240"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2B2C92">
              <w:rPr>
                <w:b w:val="0"/>
                <w:sz w:val="18"/>
                <w:szCs w:val="18"/>
              </w:rPr>
              <w:t>Unit of Measure</w:t>
            </w:r>
          </w:p>
        </w:tc>
        <w:tc>
          <w:tcPr>
            <w:tcW w:w="357" w:type="pct"/>
          </w:tcPr>
          <w:p w:rsidR="00E32F09" w:rsidRPr="002B2C92" w:rsidRDefault="00550C26">
            <w:pPr>
              <w:keepNext/>
              <w:widowControl w:val="0"/>
              <w:spacing w:after="0" w:line="240"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2B2C92">
              <w:rPr>
                <w:b w:val="0"/>
                <w:sz w:val="18"/>
                <w:szCs w:val="18"/>
              </w:rPr>
              <w:t>Expected – Strategic Plan</w:t>
            </w:r>
          </w:p>
        </w:tc>
        <w:tc>
          <w:tcPr>
            <w:tcW w:w="347" w:type="pct"/>
          </w:tcPr>
          <w:p w:rsidR="00E32F09" w:rsidRPr="002B2C92" w:rsidRDefault="00550C26">
            <w:pPr>
              <w:keepNext/>
              <w:widowControl w:val="0"/>
              <w:spacing w:after="0" w:line="240"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2B2C92">
              <w:rPr>
                <w:b w:val="0"/>
                <w:sz w:val="18"/>
                <w:szCs w:val="18"/>
              </w:rPr>
              <w:t>Actual – Strategic Plan</w:t>
            </w:r>
          </w:p>
        </w:tc>
        <w:tc>
          <w:tcPr>
            <w:tcW w:w="371" w:type="pct"/>
          </w:tcPr>
          <w:p w:rsidR="00E32F09" w:rsidRPr="002B2C92" w:rsidRDefault="00550C26">
            <w:pPr>
              <w:keepNext/>
              <w:widowControl w:val="0"/>
              <w:spacing w:after="0" w:line="240"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2B2C92">
              <w:rPr>
                <w:b w:val="0"/>
                <w:sz w:val="18"/>
                <w:szCs w:val="18"/>
              </w:rPr>
              <w:t>Percent Complete</w:t>
            </w:r>
          </w:p>
        </w:tc>
        <w:tc>
          <w:tcPr>
            <w:tcW w:w="357" w:type="pct"/>
          </w:tcPr>
          <w:p w:rsidR="00E32F09" w:rsidRPr="002B2C92" w:rsidRDefault="00550C26">
            <w:pPr>
              <w:keepNext/>
              <w:widowControl w:val="0"/>
              <w:spacing w:after="0" w:line="240"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2B2C92">
              <w:rPr>
                <w:b w:val="0"/>
                <w:sz w:val="18"/>
                <w:szCs w:val="18"/>
              </w:rPr>
              <w:t>Expected – Program Year</w:t>
            </w:r>
          </w:p>
        </w:tc>
        <w:tc>
          <w:tcPr>
            <w:tcW w:w="341" w:type="pct"/>
          </w:tcPr>
          <w:p w:rsidR="00E32F09" w:rsidRPr="002B2C92" w:rsidRDefault="00550C26">
            <w:pPr>
              <w:keepNext/>
              <w:widowControl w:val="0"/>
              <w:spacing w:after="0" w:line="240"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2B2C92">
              <w:rPr>
                <w:b w:val="0"/>
                <w:sz w:val="18"/>
                <w:szCs w:val="18"/>
              </w:rPr>
              <w:t>Actual – Program Year</w:t>
            </w:r>
          </w:p>
        </w:tc>
        <w:tc>
          <w:tcPr>
            <w:tcW w:w="371" w:type="pct"/>
          </w:tcPr>
          <w:p w:rsidR="00E32F09" w:rsidRPr="002B2C92" w:rsidRDefault="00550C26">
            <w:pPr>
              <w:keepNext/>
              <w:widowControl w:val="0"/>
              <w:spacing w:after="0" w:line="240"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2B2C92">
              <w:rPr>
                <w:b w:val="0"/>
                <w:sz w:val="18"/>
                <w:szCs w:val="18"/>
              </w:rPr>
              <w:t>Percent Complete</w:t>
            </w:r>
          </w:p>
        </w:tc>
      </w:tr>
      <w:tr w:rsidR="002B2C92" w:rsidTr="00CB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Flood Recovery</w:t>
            </w:r>
          </w:p>
        </w:tc>
        <w:tc>
          <w:tcPr>
            <w:tcW w:w="511" w:type="pct"/>
          </w:tcPr>
          <w:p w:rsidR="00E32F09" w:rsidRPr="002B2C92"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color w:val="000000"/>
                <w:sz w:val="18"/>
                <w:szCs w:val="18"/>
              </w:rPr>
              <w:t>Non-Housing Community Development</w:t>
            </w:r>
          </w:p>
        </w:tc>
        <w:tc>
          <w:tcPr>
            <w:tcW w:w="328" w:type="pct"/>
          </w:tcPr>
          <w:p w:rsidR="00E32F09" w:rsidRPr="002B2C92" w:rsidRDefault="00C60E74">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CDBG: $</w:t>
            </w:r>
          </w:p>
        </w:tc>
        <w:tc>
          <w:tcPr>
            <w:tcW w:w="777" w:type="pct"/>
          </w:tcPr>
          <w:p w:rsidR="00E32F09" w:rsidRPr="002B2C92" w:rsidRDefault="002B2C92">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Public Facility</w:t>
            </w:r>
          </w:p>
        </w:tc>
        <w:tc>
          <w:tcPr>
            <w:tcW w:w="425" w:type="pct"/>
          </w:tcPr>
          <w:p w:rsidR="00E32F09" w:rsidRPr="002B2C92" w:rsidRDefault="002B2C92">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Persons Assisted</w:t>
            </w:r>
          </w:p>
        </w:tc>
        <w:tc>
          <w:tcPr>
            <w:tcW w:w="35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0</w:t>
            </w:r>
          </w:p>
        </w:tc>
        <w:tc>
          <w:tcPr>
            <w:tcW w:w="34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0</w:t>
            </w:r>
          </w:p>
        </w:tc>
        <w:tc>
          <w:tcPr>
            <w:tcW w:w="371"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0.00%</w:t>
            </w:r>
          </w:p>
        </w:tc>
        <w:tc>
          <w:tcPr>
            <w:tcW w:w="357" w:type="pct"/>
          </w:tcPr>
          <w:p w:rsidR="00E32F09"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pPr>
            <w:r>
              <w:rPr>
                <w:color w:val="000000"/>
              </w:rPr>
              <w:t xml:space="preserve"> </w:t>
            </w:r>
          </w:p>
        </w:tc>
        <w:tc>
          <w:tcPr>
            <w:tcW w:w="341" w:type="pct"/>
          </w:tcPr>
          <w:p w:rsidR="00E32F09"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pPr>
            <w:r>
              <w:rPr>
                <w:color w:val="000000"/>
              </w:rPr>
              <w:t xml:space="preserve"> </w:t>
            </w:r>
          </w:p>
        </w:tc>
        <w:tc>
          <w:tcPr>
            <w:tcW w:w="371" w:type="pct"/>
          </w:tcPr>
          <w:p w:rsidR="00E32F09"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pPr>
            <w:r>
              <w:rPr>
                <w:color w:val="000000"/>
              </w:rPr>
              <w:t xml:space="preserve"> </w:t>
            </w:r>
            <w:r w:rsidR="00AA228B">
              <w:rPr>
                <w:color w:val="000000"/>
              </w:rPr>
              <w:t>0.0%</w:t>
            </w:r>
          </w:p>
        </w:tc>
      </w:tr>
      <w:tr w:rsidR="002B2C92" w:rsidTr="00CB6147">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Grant Administration/Oversight</w:t>
            </w:r>
          </w:p>
        </w:tc>
        <w:tc>
          <w:tcPr>
            <w:tcW w:w="511" w:type="pct"/>
          </w:tcPr>
          <w:p w:rsidR="00E32F09" w:rsidRPr="002B2C92"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color w:val="000000"/>
                <w:sz w:val="18"/>
                <w:szCs w:val="18"/>
              </w:rPr>
              <w:t>Grant Administration</w:t>
            </w:r>
          </w:p>
        </w:tc>
        <w:tc>
          <w:tcPr>
            <w:tcW w:w="328" w:type="pct"/>
          </w:tcPr>
          <w:p w:rsidR="00E32F09" w:rsidRPr="002B2C92" w:rsidRDefault="00C60E74">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sz w:val="18"/>
                <w:szCs w:val="18"/>
              </w:rPr>
              <w:t>CDBG: $</w:t>
            </w:r>
          </w:p>
        </w:tc>
        <w:tc>
          <w:tcPr>
            <w:tcW w:w="777" w:type="pct"/>
          </w:tcPr>
          <w:p w:rsidR="00E32F09" w:rsidRPr="002B2C92" w:rsidRDefault="002B2C92">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sz w:val="18"/>
                <w:szCs w:val="18"/>
              </w:rPr>
              <w:t>Other</w:t>
            </w:r>
          </w:p>
        </w:tc>
        <w:tc>
          <w:tcPr>
            <w:tcW w:w="425" w:type="pct"/>
          </w:tcPr>
          <w:p w:rsidR="00E32F09" w:rsidRPr="002B2C92" w:rsidRDefault="002B2C92">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sz w:val="18"/>
                <w:szCs w:val="18"/>
              </w:rPr>
              <w:t>Other</w:t>
            </w:r>
          </w:p>
        </w:tc>
        <w:tc>
          <w:tcPr>
            <w:tcW w:w="35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0</w:t>
            </w:r>
          </w:p>
        </w:tc>
        <w:tc>
          <w:tcPr>
            <w:tcW w:w="34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0</w:t>
            </w:r>
          </w:p>
        </w:tc>
        <w:tc>
          <w:tcPr>
            <w:tcW w:w="371"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0.00%</w:t>
            </w:r>
          </w:p>
        </w:tc>
        <w:tc>
          <w:tcPr>
            <w:tcW w:w="357" w:type="pct"/>
          </w:tcPr>
          <w:p w:rsidR="00E32F09" w:rsidRDefault="00E32F09">
            <w:pPr>
              <w:spacing w:beforeAutospacing="1" w:afterAutospacing="1"/>
              <w:cnfStyle w:val="000000000000" w:firstRow="0" w:lastRow="0" w:firstColumn="0" w:lastColumn="0" w:oddVBand="0" w:evenVBand="0" w:oddHBand="0" w:evenHBand="0" w:firstRowFirstColumn="0" w:firstRowLastColumn="0" w:lastRowFirstColumn="0" w:lastRowLastColumn="0"/>
            </w:pPr>
          </w:p>
        </w:tc>
        <w:tc>
          <w:tcPr>
            <w:tcW w:w="341" w:type="pct"/>
          </w:tcPr>
          <w:p w:rsidR="00E32F09" w:rsidRDefault="00AA228B">
            <w:pPr>
              <w:spacing w:beforeAutospacing="1" w:afterAutospacing="1"/>
              <w:cnfStyle w:val="000000000000" w:firstRow="0" w:lastRow="0" w:firstColumn="0" w:lastColumn="0" w:oddVBand="0" w:evenVBand="0" w:oddHBand="0" w:evenHBand="0" w:firstRowFirstColumn="0" w:firstRowLastColumn="0" w:lastRowFirstColumn="0" w:lastRowLastColumn="0"/>
            </w:pPr>
            <w:r>
              <w:t>0</w:t>
            </w:r>
          </w:p>
        </w:tc>
        <w:tc>
          <w:tcPr>
            <w:tcW w:w="371" w:type="pct"/>
          </w:tcPr>
          <w:p w:rsidR="00E32F09" w:rsidRDefault="00AA228B">
            <w:pPr>
              <w:spacing w:beforeAutospacing="1" w:afterAutospacing="1"/>
              <w:cnfStyle w:val="000000000000" w:firstRow="0" w:lastRow="0" w:firstColumn="0" w:lastColumn="0" w:oddVBand="0" w:evenVBand="0" w:oddHBand="0" w:evenHBand="0" w:firstRowFirstColumn="0" w:firstRowLastColumn="0" w:lastRowFirstColumn="0" w:lastRowLastColumn="0"/>
            </w:pPr>
            <w:r>
              <w:t>0.0%</w:t>
            </w:r>
          </w:p>
        </w:tc>
      </w:tr>
      <w:tr w:rsidR="00CB6147" w:rsidTr="00CB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rsidR="002B2C92" w:rsidRPr="002B2C92" w:rsidRDefault="002B2C92">
            <w:pPr>
              <w:spacing w:beforeAutospacing="1" w:afterAutospacing="1"/>
              <w:rPr>
                <w:color w:val="000000"/>
                <w:sz w:val="18"/>
                <w:szCs w:val="18"/>
              </w:rPr>
            </w:pPr>
            <w:r w:rsidRPr="002B2C92">
              <w:rPr>
                <w:color w:val="000000"/>
                <w:sz w:val="18"/>
                <w:szCs w:val="18"/>
              </w:rPr>
              <w:t>Grant Administration/ Oversight</w:t>
            </w:r>
          </w:p>
        </w:tc>
        <w:tc>
          <w:tcPr>
            <w:tcW w:w="511" w:type="pct"/>
          </w:tcPr>
          <w:p w:rsidR="002B2C92" w:rsidRPr="002B2C92" w:rsidRDefault="002B2C92">
            <w:pPr>
              <w:spacing w:beforeAutospacing="1" w:afterAutospacing="1"/>
              <w:cnfStyle w:val="000000100000" w:firstRow="0" w:lastRow="0" w:firstColumn="0" w:lastColumn="0" w:oddVBand="0" w:evenVBand="0" w:oddHBand="1" w:evenHBand="0" w:firstRowFirstColumn="0" w:firstRowLastColumn="0" w:lastRowFirstColumn="0" w:lastRowLastColumn="0"/>
              <w:rPr>
                <w:color w:val="000000"/>
                <w:sz w:val="18"/>
                <w:szCs w:val="18"/>
              </w:rPr>
            </w:pPr>
            <w:r w:rsidRPr="002B2C92">
              <w:rPr>
                <w:color w:val="000000"/>
                <w:sz w:val="18"/>
                <w:szCs w:val="18"/>
              </w:rPr>
              <w:t>Grant Administration</w:t>
            </w:r>
          </w:p>
        </w:tc>
        <w:tc>
          <w:tcPr>
            <w:tcW w:w="328" w:type="pct"/>
          </w:tcPr>
          <w:p w:rsidR="002B2C92" w:rsidRPr="002B2C92" w:rsidRDefault="002B2C92">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CDBG: $</w:t>
            </w:r>
          </w:p>
        </w:tc>
        <w:tc>
          <w:tcPr>
            <w:tcW w:w="777" w:type="pct"/>
          </w:tcPr>
          <w:p w:rsidR="002B2C92" w:rsidRPr="002B2C92" w:rsidRDefault="002B2C92">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Jobs Created/ Retained</w:t>
            </w:r>
          </w:p>
        </w:tc>
        <w:tc>
          <w:tcPr>
            <w:tcW w:w="425" w:type="pct"/>
          </w:tcPr>
          <w:p w:rsidR="002B2C92" w:rsidRPr="002B2C92" w:rsidRDefault="002B2C92">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Jobs</w:t>
            </w:r>
          </w:p>
        </w:tc>
        <w:tc>
          <w:tcPr>
            <w:tcW w:w="357" w:type="pct"/>
          </w:tcPr>
          <w:p w:rsidR="002B2C92"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0</w:t>
            </w:r>
          </w:p>
        </w:tc>
        <w:tc>
          <w:tcPr>
            <w:tcW w:w="347" w:type="pct"/>
          </w:tcPr>
          <w:p w:rsidR="002B2C92"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27</w:t>
            </w:r>
          </w:p>
        </w:tc>
        <w:tc>
          <w:tcPr>
            <w:tcW w:w="371" w:type="pct"/>
          </w:tcPr>
          <w:p w:rsidR="002B2C92" w:rsidRDefault="002B2C92">
            <w:pPr>
              <w:spacing w:beforeAutospacing="1" w:afterAutospacing="1"/>
              <w:cnfStyle w:val="000000100000" w:firstRow="0" w:lastRow="0" w:firstColumn="0" w:lastColumn="0" w:oddVBand="0" w:evenVBand="0" w:oddHBand="1" w:evenHBand="0" w:firstRowFirstColumn="0" w:firstRowLastColumn="0" w:lastRowFirstColumn="0" w:lastRowLastColumn="0"/>
            </w:pPr>
          </w:p>
        </w:tc>
        <w:tc>
          <w:tcPr>
            <w:tcW w:w="357" w:type="pct"/>
          </w:tcPr>
          <w:p w:rsidR="002B2C92"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0</w:t>
            </w:r>
          </w:p>
        </w:tc>
        <w:tc>
          <w:tcPr>
            <w:tcW w:w="341" w:type="pct"/>
          </w:tcPr>
          <w:p w:rsidR="002B2C92"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27</w:t>
            </w:r>
          </w:p>
        </w:tc>
        <w:tc>
          <w:tcPr>
            <w:tcW w:w="371" w:type="pct"/>
          </w:tcPr>
          <w:p w:rsidR="002B2C92"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2700%</w:t>
            </w:r>
          </w:p>
        </w:tc>
      </w:tr>
      <w:tr w:rsidR="00CB6147" w:rsidTr="00CB6147">
        <w:tc>
          <w:tcPr>
            <w:cnfStyle w:val="001000000000" w:firstRow="0" w:lastRow="0" w:firstColumn="1" w:lastColumn="0" w:oddVBand="0" w:evenVBand="0" w:oddHBand="0" w:evenHBand="0" w:firstRowFirstColumn="0" w:firstRowLastColumn="0" w:lastRowFirstColumn="0" w:lastRowLastColumn="0"/>
            <w:tcW w:w="816" w:type="pct"/>
          </w:tcPr>
          <w:p w:rsidR="002B2C92" w:rsidRPr="002B2C92" w:rsidRDefault="002B2C92">
            <w:pPr>
              <w:spacing w:beforeAutospacing="1" w:afterAutospacing="1"/>
              <w:rPr>
                <w:color w:val="000000"/>
                <w:sz w:val="18"/>
                <w:szCs w:val="18"/>
              </w:rPr>
            </w:pPr>
            <w:r w:rsidRPr="002B2C92">
              <w:rPr>
                <w:color w:val="000000"/>
                <w:sz w:val="18"/>
                <w:szCs w:val="18"/>
              </w:rPr>
              <w:t>Grant Administration/ Oversight</w:t>
            </w:r>
          </w:p>
        </w:tc>
        <w:tc>
          <w:tcPr>
            <w:tcW w:w="511" w:type="pct"/>
          </w:tcPr>
          <w:p w:rsidR="002B2C92" w:rsidRPr="002B2C92" w:rsidRDefault="002B2C92">
            <w:pPr>
              <w:spacing w:beforeAutospacing="1" w:afterAutospacing="1"/>
              <w:cnfStyle w:val="000000000000" w:firstRow="0" w:lastRow="0" w:firstColumn="0" w:lastColumn="0" w:oddVBand="0" w:evenVBand="0" w:oddHBand="0" w:evenHBand="0" w:firstRowFirstColumn="0" w:firstRowLastColumn="0" w:lastRowFirstColumn="0" w:lastRowLastColumn="0"/>
              <w:rPr>
                <w:color w:val="000000"/>
                <w:sz w:val="18"/>
                <w:szCs w:val="18"/>
              </w:rPr>
            </w:pPr>
            <w:r w:rsidRPr="002B2C92">
              <w:rPr>
                <w:color w:val="000000"/>
                <w:sz w:val="18"/>
                <w:szCs w:val="18"/>
              </w:rPr>
              <w:t>Grant Administration</w:t>
            </w:r>
          </w:p>
        </w:tc>
        <w:tc>
          <w:tcPr>
            <w:tcW w:w="328" w:type="pct"/>
          </w:tcPr>
          <w:p w:rsidR="002B2C92" w:rsidRPr="002B2C92" w:rsidRDefault="002B2C92">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sz w:val="18"/>
                <w:szCs w:val="18"/>
              </w:rPr>
              <w:t>CDBG: $</w:t>
            </w:r>
          </w:p>
        </w:tc>
        <w:tc>
          <w:tcPr>
            <w:tcW w:w="777" w:type="pct"/>
          </w:tcPr>
          <w:p w:rsidR="002B2C92" w:rsidRPr="002B2C92" w:rsidRDefault="002B2C92">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sz w:val="18"/>
                <w:szCs w:val="18"/>
              </w:rPr>
              <w:t xml:space="preserve">Businesses </w:t>
            </w:r>
            <w:proofErr w:type="spellStart"/>
            <w:r w:rsidRPr="002B2C92">
              <w:rPr>
                <w:sz w:val="18"/>
                <w:szCs w:val="18"/>
              </w:rPr>
              <w:t>Assusted</w:t>
            </w:r>
            <w:proofErr w:type="spellEnd"/>
          </w:p>
        </w:tc>
        <w:tc>
          <w:tcPr>
            <w:tcW w:w="425" w:type="pct"/>
          </w:tcPr>
          <w:p w:rsidR="002B2C92" w:rsidRPr="002B2C92" w:rsidRDefault="002B2C92">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sz w:val="18"/>
                <w:szCs w:val="18"/>
              </w:rPr>
              <w:t>Businesses Assisted</w:t>
            </w:r>
          </w:p>
        </w:tc>
        <w:tc>
          <w:tcPr>
            <w:tcW w:w="357" w:type="pct"/>
          </w:tcPr>
          <w:p w:rsidR="002B2C92"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1</w:t>
            </w:r>
          </w:p>
        </w:tc>
        <w:tc>
          <w:tcPr>
            <w:tcW w:w="347" w:type="pct"/>
          </w:tcPr>
          <w:p w:rsidR="002B2C92"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3</w:t>
            </w:r>
          </w:p>
        </w:tc>
        <w:tc>
          <w:tcPr>
            <w:tcW w:w="371" w:type="pct"/>
          </w:tcPr>
          <w:p w:rsidR="002B2C92" w:rsidRDefault="002B2C92">
            <w:pPr>
              <w:spacing w:beforeAutospacing="1" w:afterAutospacing="1"/>
              <w:cnfStyle w:val="000000000000" w:firstRow="0" w:lastRow="0" w:firstColumn="0" w:lastColumn="0" w:oddVBand="0" w:evenVBand="0" w:oddHBand="0" w:evenHBand="0" w:firstRowFirstColumn="0" w:firstRowLastColumn="0" w:lastRowFirstColumn="0" w:lastRowLastColumn="0"/>
            </w:pPr>
          </w:p>
        </w:tc>
        <w:tc>
          <w:tcPr>
            <w:tcW w:w="357" w:type="pct"/>
          </w:tcPr>
          <w:p w:rsidR="002B2C92"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0</w:t>
            </w:r>
          </w:p>
        </w:tc>
        <w:tc>
          <w:tcPr>
            <w:tcW w:w="341" w:type="pct"/>
          </w:tcPr>
          <w:p w:rsidR="002B2C92" w:rsidRDefault="00AA228B">
            <w:pPr>
              <w:spacing w:beforeAutospacing="1" w:afterAutospacing="1"/>
              <w:cnfStyle w:val="000000000000" w:firstRow="0" w:lastRow="0" w:firstColumn="0" w:lastColumn="0" w:oddVBand="0" w:evenVBand="0" w:oddHBand="0" w:evenHBand="0" w:firstRowFirstColumn="0" w:firstRowLastColumn="0" w:lastRowFirstColumn="0" w:lastRowLastColumn="0"/>
            </w:pPr>
            <w:r>
              <w:t>3</w:t>
            </w:r>
          </w:p>
        </w:tc>
        <w:tc>
          <w:tcPr>
            <w:tcW w:w="371" w:type="pct"/>
          </w:tcPr>
          <w:p w:rsidR="002B2C92" w:rsidRDefault="00AA228B">
            <w:pPr>
              <w:spacing w:beforeAutospacing="1" w:afterAutospacing="1"/>
              <w:cnfStyle w:val="000000000000" w:firstRow="0" w:lastRow="0" w:firstColumn="0" w:lastColumn="0" w:oddVBand="0" w:evenVBand="0" w:oddHBand="0" w:evenHBand="0" w:firstRowFirstColumn="0" w:firstRowLastColumn="0" w:lastRowFirstColumn="0" w:lastRowLastColumn="0"/>
            </w:pPr>
            <w:r>
              <w:t>300%</w:t>
            </w:r>
          </w:p>
        </w:tc>
      </w:tr>
      <w:tr w:rsidR="00CB6147" w:rsidTr="00CB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Low/Mod Job Creation</w:t>
            </w:r>
          </w:p>
        </w:tc>
        <w:tc>
          <w:tcPr>
            <w:tcW w:w="511" w:type="pct"/>
          </w:tcPr>
          <w:p w:rsidR="00E32F09" w:rsidRPr="002B2C92"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color w:val="000000"/>
                <w:sz w:val="18"/>
                <w:szCs w:val="18"/>
              </w:rPr>
              <w:t>Non-Housing Community Development</w:t>
            </w:r>
          </w:p>
        </w:tc>
        <w:tc>
          <w:tcPr>
            <w:tcW w:w="328" w:type="pct"/>
          </w:tcPr>
          <w:p w:rsidR="00E32F09" w:rsidRPr="002B2C92" w:rsidRDefault="00C60E74">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CDBG: $</w:t>
            </w:r>
          </w:p>
        </w:tc>
        <w:tc>
          <w:tcPr>
            <w:tcW w:w="777" w:type="pct"/>
          </w:tcPr>
          <w:p w:rsidR="00E32F09" w:rsidRPr="002B2C92" w:rsidRDefault="002B2C92">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Jobs Created/ Retained</w:t>
            </w:r>
          </w:p>
        </w:tc>
        <w:tc>
          <w:tcPr>
            <w:tcW w:w="425" w:type="pct"/>
          </w:tcPr>
          <w:p w:rsidR="00E32F09" w:rsidRPr="002B2C92" w:rsidRDefault="002B2C92">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Other</w:t>
            </w:r>
          </w:p>
        </w:tc>
        <w:tc>
          <w:tcPr>
            <w:tcW w:w="35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20</w:t>
            </w:r>
          </w:p>
        </w:tc>
        <w:tc>
          <w:tcPr>
            <w:tcW w:w="34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5</w:t>
            </w:r>
          </w:p>
        </w:tc>
        <w:tc>
          <w:tcPr>
            <w:tcW w:w="371" w:type="pct"/>
          </w:tcPr>
          <w:p w:rsidR="00E32F09" w:rsidRDefault="00E32F09">
            <w:pPr>
              <w:spacing w:beforeAutospacing="1" w:afterAutospacing="1"/>
              <w:cnfStyle w:val="000000100000" w:firstRow="0" w:lastRow="0" w:firstColumn="0" w:lastColumn="0" w:oddVBand="0" w:evenVBand="0" w:oddHBand="1" w:evenHBand="0" w:firstRowFirstColumn="0" w:firstRowLastColumn="0" w:lastRowFirstColumn="0" w:lastRowLastColumn="0"/>
            </w:pPr>
          </w:p>
        </w:tc>
        <w:tc>
          <w:tcPr>
            <w:tcW w:w="35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1</w:t>
            </w:r>
          </w:p>
        </w:tc>
        <w:tc>
          <w:tcPr>
            <w:tcW w:w="341" w:type="pct"/>
          </w:tcPr>
          <w:p w:rsidR="00E32F09"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5</w:t>
            </w:r>
          </w:p>
        </w:tc>
        <w:tc>
          <w:tcPr>
            <w:tcW w:w="371" w:type="pct"/>
          </w:tcPr>
          <w:p w:rsidR="00E32F09"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25%</w:t>
            </w:r>
          </w:p>
        </w:tc>
      </w:tr>
      <w:tr w:rsidR="00CB6147" w:rsidTr="00CB6147">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Low/Mod Job Creation</w:t>
            </w:r>
          </w:p>
        </w:tc>
        <w:tc>
          <w:tcPr>
            <w:tcW w:w="511" w:type="pct"/>
          </w:tcPr>
          <w:p w:rsidR="00E32F09" w:rsidRPr="002B2C92"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color w:val="000000"/>
                <w:sz w:val="18"/>
                <w:szCs w:val="18"/>
              </w:rPr>
              <w:t>Non-Housing Community Development</w:t>
            </w:r>
          </w:p>
        </w:tc>
        <w:tc>
          <w:tcPr>
            <w:tcW w:w="328" w:type="pct"/>
          </w:tcPr>
          <w:p w:rsidR="00E32F09" w:rsidRPr="002B2C92" w:rsidRDefault="00C60E74">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sz w:val="18"/>
                <w:szCs w:val="18"/>
              </w:rPr>
              <w:t>CDBG: $</w:t>
            </w:r>
          </w:p>
        </w:tc>
        <w:tc>
          <w:tcPr>
            <w:tcW w:w="777" w:type="pct"/>
          </w:tcPr>
          <w:p w:rsidR="00E32F09" w:rsidRPr="002B2C92" w:rsidRDefault="002B2C92">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sz w:val="18"/>
                <w:szCs w:val="18"/>
              </w:rPr>
              <w:t>Businesses Assisted</w:t>
            </w:r>
          </w:p>
        </w:tc>
        <w:tc>
          <w:tcPr>
            <w:tcW w:w="425" w:type="pct"/>
          </w:tcPr>
          <w:p w:rsidR="00E32F09" w:rsidRPr="002B2C92" w:rsidRDefault="002B2C92">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sz w:val="18"/>
                <w:szCs w:val="18"/>
              </w:rPr>
              <w:t>Jobs</w:t>
            </w:r>
          </w:p>
        </w:tc>
        <w:tc>
          <w:tcPr>
            <w:tcW w:w="35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0</w:t>
            </w:r>
          </w:p>
        </w:tc>
        <w:tc>
          <w:tcPr>
            <w:tcW w:w="34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2</w:t>
            </w:r>
          </w:p>
        </w:tc>
        <w:tc>
          <w:tcPr>
            <w:tcW w:w="371" w:type="pct"/>
          </w:tcPr>
          <w:p w:rsidR="00E32F09" w:rsidRDefault="00E32F09">
            <w:pPr>
              <w:spacing w:beforeAutospacing="1" w:afterAutospacing="1"/>
              <w:cnfStyle w:val="000000000000" w:firstRow="0" w:lastRow="0" w:firstColumn="0" w:lastColumn="0" w:oddVBand="0" w:evenVBand="0" w:oddHBand="0" w:evenHBand="0" w:firstRowFirstColumn="0" w:firstRowLastColumn="0" w:lastRowFirstColumn="0" w:lastRowLastColumn="0"/>
            </w:pPr>
          </w:p>
        </w:tc>
        <w:tc>
          <w:tcPr>
            <w:tcW w:w="35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0</w:t>
            </w:r>
          </w:p>
        </w:tc>
        <w:tc>
          <w:tcPr>
            <w:tcW w:w="341" w:type="pct"/>
          </w:tcPr>
          <w:p w:rsidR="00E32F09" w:rsidRDefault="00AA228B">
            <w:pPr>
              <w:spacing w:beforeAutospacing="1" w:afterAutospacing="1"/>
              <w:cnfStyle w:val="000000000000" w:firstRow="0" w:lastRow="0" w:firstColumn="0" w:lastColumn="0" w:oddVBand="0" w:evenVBand="0" w:oddHBand="0" w:evenHBand="0" w:firstRowFirstColumn="0" w:firstRowLastColumn="0" w:lastRowFirstColumn="0" w:lastRowLastColumn="0"/>
            </w:pPr>
            <w:r>
              <w:t>2</w:t>
            </w:r>
          </w:p>
        </w:tc>
        <w:tc>
          <w:tcPr>
            <w:tcW w:w="371" w:type="pct"/>
          </w:tcPr>
          <w:p w:rsidR="00E32F09"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pPr>
            <w:r>
              <w:rPr>
                <w:color w:val="000000"/>
              </w:rPr>
              <w:t xml:space="preserve"> </w:t>
            </w:r>
            <w:r w:rsidR="00AA228B">
              <w:rPr>
                <w:color w:val="000000"/>
              </w:rPr>
              <w:t>200%</w:t>
            </w:r>
          </w:p>
        </w:tc>
      </w:tr>
      <w:tr w:rsidR="00CB6147" w:rsidTr="00CB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Neighborhood Preservation</w:t>
            </w:r>
          </w:p>
        </w:tc>
        <w:tc>
          <w:tcPr>
            <w:tcW w:w="511" w:type="pct"/>
          </w:tcPr>
          <w:p w:rsidR="00E32F09" w:rsidRPr="002B2C92"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color w:val="000000"/>
                <w:sz w:val="18"/>
                <w:szCs w:val="18"/>
              </w:rPr>
              <w:t>Non-Housing Community Development</w:t>
            </w:r>
          </w:p>
        </w:tc>
        <w:tc>
          <w:tcPr>
            <w:tcW w:w="328" w:type="pct"/>
          </w:tcPr>
          <w:p w:rsidR="00E32F09" w:rsidRPr="002B2C92" w:rsidRDefault="00C60E74">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CDBG: $</w:t>
            </w:r>
          </w:p>
        </w:tc>
        <w:tc>
          <w:tcPr>
            <w:tcW w:w="777" w:type="pct"/>
          </w:tcPr>
          <w:p w:rsidR="00E32F09" w:rsidRPr="002B2C92" w:rsidRDefault="002B2C92">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Public Facility or Infrastructure activities other than L</w:t>
            </w:r>
            <w:r w:rsidR="00693C5B">
              <w:rPr>
                <w:sz w:val="18"/>
                <w:szCs w:val="18"/>
              </w:rPr>
              <w:t xml:space="preserve">/M </w:t>
            </w:r>
            <w:r>
              <w:rPr>
                <w:sz w:val="18"/>
                <w:szCs w:val="18"/>
              </w:rPr>
              <w:t>Income Housing Benefit</w:t>
            </w:r>
          </w:p>
        </w:tc>
        <w:tc>
          <w:tcPr>
            <w:tcW w:w="425" w:type="pct"/>
          </w:tcPr>
          <w:p w:rsidR="00E32F09" w:rsidRPr="002B2C92" w:rsidRDefault="002B2C92">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Persons Assisted</w:t>
            </w:r>
          </w:p>
        </w:tc>
        <w:tc>
          <w:tcPr>
            <w:tcW w:w="35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0</w:t>
            </w:r>
          </w:p>
        </w:tc>
        <w:tc>
          <w:tcPr>
            <w:tcW w:w="34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3096</w:t>
            </w:r>
          </w:p>
        </w:tc>
        <w:tc>
          <w:tcPr>
            <w:tcW w:w="371" w:type="pct"/>
          </w:tcPr>
          <w:p w:rsidR="00E32F09" w:rsidRDefault="00E32F09">
            <w:pPr>
              <w:spacing w:beforeAutospacing="1" w:afterAutospacing="1"/>
              <w:cnfStyle w:val="000000100000" w:firstRow="0" w:lastRow="0" w:firstColumn="0" w:lastColumn="0" w:oddVBand="0" w:evenVBand="0" w:oddHBand="1" w:evenHBand="0" w:firstRowFirstColumn="0" w:firstRowLastColumn="0" w:lastRowFirstColumn="0" w:lastRowLastColumn="0"/>
            </w:pPr>
          </w:p>
        </w:tc>
        <w:tc>
          <w:tcPr>
            <w:tcW w:w="35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1</w:t>
            </w:r>
          </w:p>
        </w:tc>
        <w:tc>
          <w:tcPr>
            <w:tcW w:w="341" w:type="pct"/>
          </w:tcPr>
          <w:p w:rsidR="00E32F09"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3096</w:t>
            </w:r>
          </w:p>
        </w:tc>
        <w:tc>
          <w:tcPr>
            <w:tcW w:w="371" w:type="pct"/>
          </w:tcPr>
          <w:p w:rsidR="00E32F09"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pPr>
            <w:r>
              <w:rPr>
                <w:color w:val="000000"/>
              </w:rPr>
              <w:t xml:space="preserve"> </w:t>
            </w:r>
            <w:r w:rsidR="00AA228B">
              <w:rPr>
                <w:color w:val="000000"/>
              </w:rPr>
              <w:t>3096%</w:t>
            </w:r>
          </w:p>
        </w:tc>
      </w:tr>
      <w:tr w:rsidR="00CB6147" w:rsidTr="00CB6147">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Neighborhood Preservation</w:t>
            </w:r>
          </w:p>
        </w:tc>
        <w:tc>
          <w:tcPr>
            <w:tcW w:w="511" w:type="pct"/>
          </w:tcPr>
          <w:p w:rsidR="00E32F09" w:rsidRPr="002B2C92"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color w:val="000000"/>
                <w:sz w:val="18"/>
                <w:szCs w:val="18"/>
              </w:rPr>
              <w:t>Non-Housing Community Development</w:t>
            </w:r>
          </w:p>
        </w:tc>
        <w:tc>
          <w:tcPr>
            <w:tcW w:w="328" w:type="pct"/>
          </w:tcPr>
          <w:p w:rsidR="00E32F09" w:rsidRPr="002B2C92" w:rsidRDefault="00C60E74">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sz w:val="18"/>
                <w:szCs w:val="18"/>
              </w:rPr>
              <w:t>CDBG: $</w:t>
            </w:r>
          </w:p>
        </w:tc>
        <w:tc>
          <w:tcPr>
            <w:tcW w:w="777" w:type="pct"/>
          </w:tcPr>
          <w:p w:rsidR="00E32F09" w:rsidRPr="002B2C92" w:rsidRDefault="002B2C92">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Buildings Demolished</w:t>
            </w:r>
          </w:p>
        </w:tc>
        <w:tc>
          <w:tcPr>
            <w:tcW w:w="425" w:type="pct"/>
          </w:tcPr>
          <w:p w:rsidR="00E32F09" w:rsidRPr="002B2C92" w:rsidRDefault="002B2C92">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sz w:val="18"/>
                <w:szCs w:val="18"/>
              </w:rPr>
              <w:t>Buildings</w:t>
            </w:r>
          </w:p>
        </w:tc>
        <w:tc>
          <w:tcPr>
            <w:tcW w:w="35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5</w:t>
            </w:r>
          </w:p>
        </w:tc>
        <w:tc>
          <w:tcPr>
            <w:tcW w:w="34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2</w:t>
            </w:r>
          </w:p>
        </w:tc>
        <w:tc>
          <w:tcPr>
            <w:tcW w:w="371" w:type="pct"/>
          </w:tcPr>
          <w:p w:rsidR="00E32F09" w:rsidRDefault="00E32F09">
            <w:pPr>
              <w:spacing w:beforeAutospacing="1" w:afterAutospacing="1"/>
              <w:cnfStyle w:val="000000000000" w:firstRow="0" w:lastRow="0" w:firstColumn="0" w:lastColumn="0" w:oddVBand="0" w:evenVBand="0" w:oddHBand="0" w:evenHBand="0" w:firstRowFirstColumn="0" w:firstRowLastColumn="0" w:lastRowFirstColumn="0" w:lastRowLastColumn="0"/>
            </w:pPr>
          </w:p>
        </w:tc>
        <w:tc>
          <w:tcPr>
            <w:tcW w:w="357" w:type="pct"/>
          </w:tcPr>
          <w:p w:rsidR="00E32F09" w:rsidRDefault="00AA228B">
            <w:pPr>
              <w:spacing w:beforeAutospacing="1" w:afterAutospacing="1"/>
              <w:cnfStyle w:val="000000000000" w:firstRow="0" w:lastRow="0" w:firstColumn="0" w:lastColumn="0" w:oddVBand="0" w:evenVBand="0" w:oddHBand="0" w:evenHBand="0" w:firstRowFirstColumn="0" w:firstRowLastColumn="0" w:lastRowFirstColumn="0" w:lastRowLastColumn="0"/>
            </w:pPr>
            <w:r>
              <w:t>3</w:t>
            </w:r>
          </w:p>
        </w:tc>
        <w:tc>
          <w:tcPr>
            <w:tcW w:w="341" w:type="pct"/>
          </w:tcPr>
          <w:p w:rsidR="00E32F09" w:rsidRDefault="00AA228B">
            <w:pPr>
              <w:spacing w:beforeAutospacing="1" w:afterAutospacing="1"/>
              <w:cnfStyle w:val="000000000000" w:firstRow="0" w:lastRow="0" w:firstColumn="0" w:lastColumn="0" w:oddVBand="0" w:evenVBand="0" w:oddHBand="0" w:evenHBand="0" w:firstRowFirstColumn="0" w:firstRowLastColumn="0" w:lastRowFirstColumn="0" w:lastRowLastColumn="0"/>
            </w:pPr>
            <w:r>
              <w:t>2</w:t>
            </w:r>
          </w:p>
        </w:tc>
        <w:tc>
          <w:tcPr>
            <w:tcW w:w="371" w:type="pct"/>
          </w:tcPr>
          <w:p w:rsidR="00E32F09" w:rsidRDefault="00AA228B">
            <w:pPr>
              <w:spacing w:beforeAutospacing="1" w:afterAutospacing="1"/>
              <w:cnfStyle w:val="000000000000" w:firstRow="0" w:lastRow="0" w:firstColumn="0" w:lastColumn="0" w:oddVBand="0" w:evenVBand="0" w:oddHBand="0" w:evenHBand="0" w:firstRowFirstColumn="0" w:firstRowLastColumn="0" w:lastRowFirstColumn="0" w:lastRowLastColumn="0"/>
            </w:pPr>
            <w:r>
              <w:t>40%</w:t>
            </w:r>
          </w:p>
        </w:tc>
      </w:tr>
      <w:tr w:rsidR="00CB6147" w:rsidTr="00CB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Neighborhood Preservation</w:t>
            </w:r>
          </w:p>
        </w:tc>
        <w:tc>
          <w:tcPr>
            <w:tcW w:w="511" w:type="pct"/>
          </w:tcPr>
          <w:p w:rsidR="00E32F09" w:rsidRPr="002B2C92"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color w:val="000000"/>
                <w:sz w:val="18"/>
                <w:szCs w:val="18"/>
              </w:rPr>
              <w:t>Non-Housing Community Development</w:t>
            </w:r>
          </w:p>
        </w:tc>
        <w:tc>
          <w:tcPr>
            <w:tcW w:w="328" w:type="pct"/>
          </w:tcPr>
          <w:p w:rsidR="00E32F09" w:rsidRPr="002B2C92" w:rsidRDefault="00C60E74">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CDBG: $</w:t>
            </w:r>
          </w:p>
        </w:tc>
        <w:tc>
          <w:tcPr>
            <w:tcW w:w="777" w:type="pct"/>
          </w:tcPr>
          <w:p w:rsidR="00E32F09" w:rsidRPr="002B2C92" w:rsidRDefault="002B2C92">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Housing Code Enforcement/Foreclosed Property Care</w:t>
            </w:r>
          </w:p>
        </w:tc>
        <w:tc>
          <w:tcPr>
            <w:tcW w:w="425" w:type="pct"/>
          </w:tcPr>
          <w:p w:rsidR="00C60E74" w:rsidRPr="002B2C92" w:rsidRDefault="002B2C92">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Household Housing Unit</w:t>
            </w:r>
          </w:p>
          <w:p w:rsidR="00C60E74" w:rsidRPr="002B2C92" w:rsidRDefault="00C60E74" w:rsidP="00C60E74">
            <w:pPr>
              <w:cnfStyle w:val="000000100000" w:firstRow="0" w:lastRow="0" w:firstColumn="0" w:lastColumn="0" w:oddVBand="0" w:evenVBand="0" w:oddHBand="1" w:evenHBand="0" w:firstRowFirstColumn="0" w:firstRowLastColumn="0" w:lastRowFirstColumn="0" w:lastRowLastColumn="0"/>
              <w:rPr>
                <w:sz w:val="18"/>
                <w:szCs w:val="18"/>
              </w:rPr>
            </w:pPr>
          </w:p>
          <w:p w:rsidR="00E32F09" w:rsidRPr="002B2C92" w:rsidRDefault="00E32F09" w:rsidP="00C60E74">
            <w:pPr>
              <w:cnfStyle w:val="000000100000" w:firstRow="0" w:lastRow="0" w:firstColumn="0" w:lastColumn="0" w:oddVBand="0" w:evenVBand="0" w:oddHBand="1" w:evenHBand="0" w:firstRowFirstColumn="0" w:firstRowLastColumn="0" w:lastRowFirstColumn="0" w:lastRowLastColumn="0"/>
              <w:rPr>
                <w:sz w:val="18"/>
                <w:szCs w:val="18"/>
              </w:rPr>
            </w:pPr>
          </w:p>
        </w:tc>
        <w:tc>
          <w:tcPr>
            <w:tcW w:w="35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5</w:t>
            </w:r>
          </w:p>
        </w:tc>
        <w:tc>
          <w:tcPr>
            <w:tcW w:w="34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0</w:t>
            </w:r>
          </w:p>
        </w:tc>
        <w:tc>
          <w:tcPr>
            <w:tcW w:w="371"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0.00%</w:t>
            </w:r>
          </w:p>
        </w:tc>
        <w:tc>
          <w:tcPr>
            <w:tcW w:w="357" w:type="pct"/>
          </w:tcPr>
          <w:p w:rsidR="00E32F09" w:rsidRDefault="00E32F09">
            <w:pPr>
              <w:spacing w:beforeAutospacing="1" w:afterAutospacing="1"/>
              <w:cnfStyle w:val="000000100000" w:firstRow="0" w:lastRow="0" w:firstColumn="0" w:lastColumn="0" w:oddVBand="0" w:evenVBand="0" w:oddHBand="1" w:evenHBand="0" w:firstRowFirstColumn="0" w:firstRowLastColumn="0" w:lastRowFirstColumn="0" w:lastRowLastColumn="0"/>
            </w:pPr>
          </w:p>
        </w:tc>
        <w:tc>
          <w:tcPr>
            <w:tcW w:w="341" w:type="pct"/>
          </w:tcPr>
          <w:p w:rsidR="00E32F09"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0</w:t>
            </w:r>
          </w:p>
        </w:tc>
        <w:tc>
          <w:tcPr>
            <w:tcW w:w="371" w:type="pct"/>
          </w:tcPr>
          <w:p w:rsidR="00E32F09"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0.0%</w:t>
            </w:r>
          </w:p>
        </w:tc>
      </w:tr>
      <w:tr w:rsidR="00CB6147" w:rsidTr="00CB6147">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Neighborhood Preservation</w:t>
            </w:r>
          </w:p>
        </w:tc>
        <w:tc>
          <w:tcPr>
            <w:tcW w:w="511" w:type="pct"/>
          </w:tcPr>
          <w:p w:rsidR="00E32F09" w:rsidRPr="002B2C92"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color w:val="000000"/>
                <w:sz w:val="18"/>
                <w:szCs w:val="18"/>
              </w:rPr>
              <w:t>Non-Housing Community Development</w:t>
            </w:r>
          </w:p>
        </w:tc>
        <w:tc>
          <w:tcPr>
            <w:tcW w:w="328" w:type="pct"/>
          </w:tcPr>
          <w:p w:rsidR="00E32F09" w:rsidRPr="002B2C92" w:rsidRDefault="00C60E74">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sz w:val="18"/>
                <w:szCs w:val="18"/>
              </w:rPr>
              <w:t>CDBG: $</w:t>
            </w:r>
          </w:p>
        </w:tc>
        <w:tc>
          <w:tcPr>
            <w:tcW w:w="777" w:type="pct"/>
          </w:tcPr>
          <w:p w:rsidR="00E32F09" w:rsidRDefault="002B2C92">
            <w:pPr>
              <w:spacing w:beforeAutospacing="1" w:afterAutospacing="1"/>
              <w:cnfStyle w:val="000000000000" w:firstRow="0" w:lastRow="0" w:firstColumn="0" w:lastColumn="0" w:oddVBand="0" w:evenVBand="0" w:oddHBand="0" w:evenHBand="0" w:firstRowFirstColumn="0" w:firstRowLastColumn="0" w:lastRowFirstColumn="0" w:lastRowLastColumn="0"/>
            </w:pPr>
            <w:r>
              <w:t>Other</w:t>
            </w:r>
          </w:p>
        </w:tc>
        <w:tc>
          <w:tcPr>
            <w:tcW w:w="425" w:type="pct"/>
          </w:tcPr>
          <w:p w:rsidR="00E32F09" w:rsidRPr="002B2C92" w:rsidRDefault="002B2C92">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Other</w:t>
            </w:r>
          </w:p>
        </w:tc>
        <w:tc>
          <w:tcPr>
            <w:tcW w:w="35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10</w:t>
            </w:r>
          </w:p>
        </w:tc>
        <w:tc>
          <w:tcPr>
            <w:tcW w:w="34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0</w:t>
            </w:r>
          </w:p>
        </w:tc>
        <w:tc>
          <w:tcPr>
            <w:tcW w:w="371"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0.00%</w:t>
            </w:r>
          </w:p>
        </w:tc>
        <w:tc>
          <w:tcPr>
            <w:tcW w:w="357" w:type="pct"/>
          </w:tcPr>
          <w:p w:rsidR="00E32F09"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pPr>
            <w:r>
              <w:rPr>
                <w:color w:val="000000"/>
              </w:rPr>
              <w:t xml:space="preserve"> </w:t>
            </w:r>
          </w:p>
        </w:tc>
        <w:tc>
          <w:tcPr>
            <w:tcW w:w="341" w:type="pct"/>
          </w:tcPr>
          <w:p w:rsidR="00E32F09"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pPr>
            <w:r>
              <w:rPr>
                <w:color w:val="000000"/>
              </w:rPr>
              <w:t xml:space="preserve"> </w:t>
            </w:r>
            <w:r w:rsidR="00AA228B">
              <w:rPr>
                <w:color w:val="000000"/>
              </w:rPr>
              <w:t>0</w:t>
            </w:r>
          </w:p>
        </w:tc>
        <w:tc>
          <w:tcPr>
            <w:tcW w:w="371" w:type="pct"/>
          </w:tcPr>
          <w:p w:rsidR="00E32F09"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pPr>
            <w:r>
              <w:rPr>
                <w:color w:val="000000"/>
              </w:rPr>
              <w:t xml:space="preserve"> </w:t>
            </w:r>
            <w:r w:rsidR="00AA228B">
              <w:rPr>
                <w:color w:val="000000"/>
              </w:rPr>
              <w:t>0.0%</w:t>
            </w:r>
          </w:p>
        </w:tc>
      </w:tr>
      <w:tr w:rsidR="002B2C92" w:rsidTr="00CB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Owner Occupied Housing Rehabilitation</w:t>
            </w:r>
          </w:p>
        </w:tc>
        <w:tc>
          <w:tcPr>
            <w:tcW w:w="511" w:type="pct"/>
          </w:tcPr>
          <w:p w:rsidR="00E32F09" w:rsidRPr="002B2C92"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color w:val="000000"/>
                <w:sz w:val="18"/>
                <w:szCs w:val="18"/>
              </w:rPr>
              <w:t>Affordable Housing</w:t>
            </w:r>
          </w:p>
        </w:tc>
        <w:tc>
          <w:tcPr>
            <w:tcW w:w="328" w:type="pct"/>
          </w:tcPr>
          <w:p w:rsidR="00E32F09" w:rsidRPr="002B2C92" w:rsidRDefault="00C60E74">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CDBG: $</w:t>
            </w:r>
          </w:p>
        </w:tc>
        <w:tc>
          <w:tcPr>
            <w:tcW w:w="777" w:type="pct"/>
          </w:tcPr>
          <w:p w:rsidR="00E32F09" w:rsidRPr="00693C5B" w:rsidRDefault="00693C5B">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693C5B">
              <w:rPr>
                <w:sz w:val="18"/>
                <w:szCs w:val="18"/>
              </w:rPr>
              <w:t>Homeowner Housing Rehabilitation</w:t>
            </w:r>
          </w:p>
        </w:tc>
        <w:tc>
          <w:tcPr>
            <w:tcW w:w="425" w:type="pct"/>
          </w:tcPr>
          <w:p w:rsidR="00E32F09" w:rsidRPr="002B2C92" w:rsidRDefault="00693C5B">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Houshold</w:t>
            </w:r>
            <w:proofErr w:type="spellEnd"/>
            <w:r>
              <w:rPr>
                <w:sz w:val="18"/>
                <w:szCs w:val="18"/>
              </w:rPr>
              <w:t xml:space="preserve"> Housing Unit</w:t>
            </w:r>
          </w:p>
        </w:tc>
        <w:tc>
          <w:tcPr>
            <w:tcW w:w="35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60</w:t>
            </w:r>
          </w:p>
        </w:tc>
        <w:tc>
          <w:tcPr>
            <w:tcW w:w="34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71</w:t>
            </w:r>
          </w:p>
        </w:tc>
        <w:tc>
          <w:tcPr>
            <w:tcW w:w="371" w:type="pct"/>
          </w:tcPr>
          <w:p w:rsidR="00E32F09" w:rsidRDefault="00E32F09">
            <w:pPr>
              <w:spacing w:beforeAutospacing="1" w:afterAutospacing="1"/>
              <w:cnfStyle w:val="000000100000" w:firstRow="0" w:lastRow="0" w:firstColumn="0" w:lastColumn="0" w:oddVBand="0" w:evenVBand="0" w:oddHBand="1" w:evenHBand="0" w:firstRowFirstColumn="0" w:firstRowLastColumn="0" w:lastRowFirstColumn="0" w:lastRowLastColumn="0"/>
            </w:pPr>
          </w:p>
        </w:tc>
        <w:tc>
          <w:tcPr>
            <w:tcW w:w="357" w:type="pct"/>
          </w:tcPr>
          <w:p w:rsidR="00E32F09"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60</w:t>
            </w:r>
          </w:p>
        </w:tc>
        <w:tc>
          <w:tcPr>
            <w:tcW w:w="341" w:type="pct"/>
          </w:tcPr>
          <w:p w:rsidR="00E32F09"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71</w:t>
            </w:r>
          </w:p>
        </w:tc>
        <w:tc>
          <w:tcPr>
            <w:tcW w:w="371" w:type="pct"/>
          </w:tcPr>
          <w:p w:rsidR="00E32F09"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118%</w:t>
            </w:r>
          </w:p>
        </w:tc>
      </w:tr>
      <w:tr w:rsidR="002B2C92" w:rsidTr="00CB6147">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Provide Assistance To First Time Home Buyers</w:t>
            </w:r>
          </w:p>
        </w:tc>
        <w:tc>
          <w:tcPr>
            <w:tcW w:w="511" w:type="pct"/>
          </w:tcPr>
          <w:p w:rsidR="00E32F09" w:rsidRPr="002B2C92"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color w:val="000000"/>
                <w:sz w:val="18"/>
                <w:szCs w:val="18"/>
              </w:rPr>
              <w:t>Affordable Housing</w:t>
            </w:r>
          </w:p>
        </w:tc>
        <w:tc>
          <w:tcPr>
            <w:tcW w:w="328" w:type="pct"/>
          </w:tcPr>
          <w:p w:rsidR="00E32F09" w:rsidRPr="002B2C92" w:rsidRDefault="00C60E74">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sz w:val="18"/>
                <w:szCs w:val="18"/>
              </w:rPr>
              <w:t>CDBG: $</w:t>
            </w:r>
          </w:p>
        </w:tc>
        <w:tc>
          <w:tcPr>
            <w:tcW w:w="777" w:type="pct"/>
          </w:tcPr>
          <w:p w:rsidR="00E32F09" w:rsidRPr="00693C5B" w:rsidRDefault="00693C5B">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693C5B">
              <w:rPr>
                <w:sz w:val="18"/>
                <w:szCs w:val="18"/>
              </w:rPr>
              <w:t>Direct Financial Assistance to Homebuyers</w:t>
            </w:r>
          </w:p>
        </w:tc>
        <w:tc>
          <w:tcPr>
            <w:tcW w:w="425" w:type="pct"/>
          </w:tcPr>
          <w:p w:rsidR="00E32F09" w:rsidRPr="002B2C92" w:rsidRDefault="00693C5B">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Households Assisted</w:t>
            </w:r>
          </w:p>
        </w:tc>
        <w:tc>
          <w:tcPr>
            <w:tcW w:w="35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10</w:t>
            </w:r>
          </w:p>
        </w:tc>
        <w:tc>
          <w:tcPr>
            <w:tcW w:w="34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0</w:t>
            </w:r>
          </w:p>
        </w:tc>
        <w:tc>
          <w:tcPr>
            <w:tcW w:w="371"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0.00%</w:t>
            </w:r>
          </w:p>
        </w:tc>
        <w:tc>
          <w:tcPr>
            <w:tcW w:w="357" w:type="pct"/>
          </w:tcPr>
          <w:p w:rsidR="00E32F09" w:rsidRDefault="00E32F09">
            <w:pPr>
              <w:spacing w:beforeAutospacing="1" w:afterAutospacing="1"/>
              <w:cnfStyle w:val="000000000000" w:firstRow="0" w:lastRow="0" w:firstColumn="0" w:lastColumn="0" w:oddVBand="0" w:evenVBand="0" w:oddHBand="0" w:evenHBand="0" w:firstRowFirstColumn="0" w:firstRowLastColumn="0" w:lastRowFirstColumn="0" w:lastRowLastColumn="0"/>
            </w:pPr>
          </w:p>
        </w:tc>
        <w:tc>
          <w:tcPr>
            <w:tcW w:w="341" w:type="pct"/>
          </w:tcPr>
          <w:p w:rsidR="00E32F09" w:rsidRDefault="00AA228B">
            <w:pPr>
              <w:spacing w:beforeAutospacing="1" w:afterAutospacing="1"/>
              <w:cnfStyle w:val="000000000000" w:firstRow="0" w:lastRow="0" w:firstColumn="0" w:lastColumn="0" w:oddVBand="0" w:evenVBand="0" w:oddHBand="0" w:evenHBand="0" w:firstRowFirstColumn="0" w:firstRowLastColumn="0" w:lastRowFirstColumn="0" w:lastRowLastColumn="0"/>
            </w:pPr>
            <w:r>
              <w:t>0</w:t>
            </w:r>
          </w:p>
        </w:tc>
        <w:tc>
          <w:tcPr>
            <w:tcW w:w="371" w:type="pct"/>
          </w:tcPr>
          <w:p w:rsidR="00E32F09" w:rsidRDefault="00AA228B">
            <w:pPr>
              <w:spacing w:beforeAutospacing="1" w:afterAutospacing="1"/>
              <w:cnfStyle w:val="000000000000" w:firstRow="0" w:lastRow="0" w:firstColumn="0" w:lastColumn="0" w:oddVBand="0" w:evenVBand="0" w:oddHBand="0" w:evenHBand="0" w:firstRowFirstColumn="0" w:firstRowLastColumn="0" w:lastRowFirstColumn="0" w:lastRowLastColumn="0"/>
            </w:pPr>
            <w:r>
              <w:t>0.0%</w:t>
            </w:r>
          </w:p>
        </w:tc>
      </w:tr>
      <w:tr w:rsidR="002B2C92" w:rsidTr="00CB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Provide Housing Services To The Elderly</w:t>
            </w:r>
          </w:p>
        </w:tc>
        <w:tc>
          <w:tcPr>
            <w:tcW w:w="511" w:type="pct"/>
          </w:tcPr>
          <w:p w:rsidR="00E32F09" w:rsidRPr="002B2C92"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color w:val="000000"/>
                <w:sz w:val="18"/>
                <w:szCs w:val="18"/>
              </w:rPr>
              <w:t>Affordable Housing</w:t>
            </w:r>
          </w:p>
        </w:tc>
        <w:tc>
          <w:tcPr>
            <w:tcW w:w="328" w:type="pct"/>
          </w:tcPr>
          <w:p w:rsidR="00E32F09" w:rsidRPr="002B2C92" w:rsidRDefault="00C60E74">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CDBG: $</w:t>
            </w:r>
          </w:p>
        </w:tc>
        <w:tc>
          <w:tcPr>
            <w:tcW w:w="777" w:type="pct"/>
          </w:tcPr>
          <w:p w:rsidR="00E32F09" w:rsidRDefault="00693C5B">
            <w:pPr>
              <w:spacing w:beforeAutospacing="1" w:afterAutospacing="1"/>
              <w:cnfStyle w:val="000000100000" w:firstRow="0" w:lastRow="0" w:firstColumn="0" w:lastColumn="0" w:oddVBand="0" w:evenVBand="0" w:oddHBand="1" w:evenHBand="0" w:firstRowFirstColumn="0" w:firstRowLastColumn="0" w:lastRowFirstColumn="0" w:lastRowLastColumn="0"/>
            </w:pPr>
            <w:r>
              <w:rPr>
                <w:sz w:val="18"/>
                <w:szCs w:val="18"/>
              </w:rPr>
              <w:t>Public Services activities other than L/M Income Housing Benefit</w:t>
            </w:r>
          </w:p>
        </w:tc>
        <w:tc>
          <w:tcPr>
            <w:tcW w:w="425" w:type="pct"/>
          </w:tcPr>
          <w:p w:rsidR="00E32F09" w:rsidRPr="002B2C92" w:rsidRDefault="00693C5B">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Persons Assisted</w:t>
            </w:r>
          </w:p>
        </w:tc>
        <w:tc>
          <w:tcPr>
            <w:tcW w:w="35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0</w:t>
            </w:r>
          </w:p>
        </w:tc>
        <w:tc>
          <w:tcPr>
            <w:tcW w:w="34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0</w:t>
            </w:r>
          </w:p>
        </w:tc>
        <w:tc>
          <w:tcPr>
            <w:tcW w:w="371"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0.00%</w:t>
            </w:r>
          </w:p>
        </w:tc>
        <w:tc>
          <w:tcPr>
            <w:tcW w:w="357" w:type="pct"/>
          </w:tcPr>
          <w:p w:rsidR="00E32F09" w:rsidRDefault="00E32F09">
            <w:pPr>
              <w:spacing w:beforeAutospacing="1" w:afterAutospacing="1"/>
              <w:cnfStyle w:val="000000100000" w:firstRow="0" w:lastRow="0" w:firstColumn="0" w:lastColumn="0" w:oddVBand="0" w:evenVBand="0" w:oddHBand="1" w:evenHBand="0" w:firstRowFirstColumn="0" w:firstRowLastColumn="0" w:lastRowFirstColumn="0" w:lastRowLastColumn="0"/>
            </w:pPr>
          </w:p>
        </w:tc>
        <w:tc>
          <w:tcPr>
            <w:tcW w:w="341" w:type="pct"/>
          </w:tcPr>
          <w:p w:rsidR="00E32F09"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0</w:t>
            </w:r>
          </w:p>
        </w:tc>
        <w:tc>
          <w:tcPr>
            <w:tcW w:w="371" w:type="pct"/>
          </w:tcPr>
          <w:p w:rsidR="00E32F09"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0.0%</w:t>
            </w:r>
          </w:p>
        </w:tc>
      </w:tr>
      <w:tr w:rsidR="002B2C92" w:rsidTr="00CB6147">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Provide Housing Services To The Elderly</w:t>
            </w:r>
          </w:p>
        </w:tc>
        <w:tc>
          <w:tcPr>
            <w:tcW w:w="511" w:type="pct"/>
          </w:tcPr>
          <w:p w:rsidR="00E32F09" w:rsidRPr="002B2C92"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color w:val="000000"/>
                <w:sz w:val="18"/>
                <w:szCs w:val="18"/>
              </w:rPr>
              <w:t>Affordable Housing</w:t>
            </w:r>
          </w:p>
        </w:tc>
        <w:tc>
          <w:tcPr>
            <w:tcW w:w="328" w:type="pct"/>
          </w:tcPr>
          <w:p w:rsidR="00E32F09" w:rsidRPr="002B2C92" w:rsidRDefault="00C60E74">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sz w:val="18"/>
                <w:szCs w:val="18"/>
              </w:rPr>
              <w:t>CDBG: $</w:t>
            </w:r>
          </w:p>
        </w:tc>
        <w:tc>
          <w:tcPr>
            <w:tcW w:w="777" w:type="pct"/>
          </w:tcPr>
          <w:p w:rsidR="00E32F09" w:rsidRDefault="00693C5B">
            <w:pPr>
              <w:spacing w:beforeAutospacing="1" w:afterAutospacing="1"/>
              <w:cnfStyle w:val="000000000000" w:firstRow="0" w:lastRow="0" w:firstColumn="0" w:lastColumn="0" w:oddVBand="0" w:evenVBand="0" w:oddHBand="0" w:evenHBand="0" w:firstRowFirstColumn="0" w:firstRowLastColumn="0" w:lastRowFirstColumn="0" w:lastRowLastColumn="0"/>
            </w:pPr>
            <w:r>
              <w:rPr>
                <w:sz w:val="18"/>
                <w:szCs w:val="18"/>
              </w:rPr>
              <w:t>Homeowner Housing Rehabilitated</w:t>
            </w:r>
          </w:p>
        </w:tc>
        <w:tc>
          <w:tcPr>
            <w:tcW w:w="425" w:type="pct"/>
          </w:tcPr>
          <w:p w:rsidR="00E32F09" w:rsidRPr="002B2C92" w:rsidRDefault="00693C5B">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Household Housing Unit</w:t>
            </w:r>
          </w:p>
        </w:tc>
        <w:tc>
          <w:tcPr>
            <w:tcW w:w="35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300</w:t>
            </w:r>
          </w:p>
        </w:tc>
        <w:tc>
          <w:tcPr>
            <w:tcW w:w="34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0</w:t>
            </w:r>
          </w:p>
        </w:tc>
        <w:tc>
          <w:tcPr>
            <w:tcW w:w="371"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0.00%</w:t>
            </w:r>
          </w:p>
        </w:tc>
        <w:tc>
          <w:tcPr>
            <w:tcW w:w="357" w:type="pct"/>
          </w:tcPr>
          <w:p w:rsidR="00E32F09"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pPr>
            <w:r>
              <w:rPr>
                <w:color w:val="000000"/>
              </w:rPr>
              <w:t xml:space="preserve"> </w:t>
            </w:r>
          </w:p>
        </w:tc>
        <w:tc>
          <w:tcPr>
            <w:tcW w:w="341" w:type="pct"/>
          </w:tcPr>
          <w:p w:rsidR="00E32F09"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pPr>
            <w:r>
              <w:rPr>
                <w:color w:val="000000"/>
              </w:rPr>
              <w:t xml:space="preserve"> </w:t>
            </w:r>
            <w:r w:rsidR="00AA228B">
              <w:rPr>
                <w:color w:val="000000"/>
              </w:rPr>
              <w:t>0</w:t>
            </w:r>
          </w:p>
        </w:tc>
        <w:tc>
          <w:tcPr>
            <w:tcW w:w="371" w:type="pct"/>
          </w:tcPr>
          <w:p w:rsidR="00E32F09"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pPr>
            <w:r>
              <w:rPr>
                <w:color w:val="000000"/>
              </w:rPr>
              <w:t xml:space="preserve"> </w:t>
            </w:r>
            <w:r w:rsidR="00AA228B">
              <w:rPr>
                <w:color w:val="000000"/>
              </w:rPr>
              <w:t>0.0%</w:t>
            </w:r>
          </w:p>
        </w:tc>
      </w:tr>
      <w:tr w:rsidR="002B2C92" w:rsidTr="00CB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Provide Public Services Targeted To The Elderly</w:t>
            </w:r>
          </w:p>
        </w:tc>
        <w:tc>
          <w:tcPr>
            <w:tcW w:w="511" w:type="pct"/>
          </w:tcPr>
          <w:p w:rsidR="00E32F09" w:rsidRPr="002B2C92"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color w:val="000000"/>
                <w:sz w:val="18"/>
                <w:szCs w:val="18"/>
              </w:rPr>
              <w:t>Non-Housing Community Development</w:t>
            </w:r>
          </w:p>
        </w:tc>
        <w:tc>
          <w:tcPr>
            <w:tcW w:w="328" w:type="pct"/>
          </w:tcPr>
          <w:p w:rsidR="00E32F09" w:rsidRPr="002B2C92" w:rsidRDefault="00C60E74">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CDBG: $</w:t>
            </w:r>
          </w:p>
        </w:tc>
        <w:tc>
          <w:tcPr>
            <w:tcW w:w="777" w:type="pct"/>
          </w:tcPr>
          <w:p w:rsidR="00E32F09" w:rsidRDefault="00693C5B">
            <w:pPr>
              <w:spacing w:beforeAutospacing="1" w:afterAutospacing="1"/>
              <w:cnfStyle w:val="000000100000" w:firstRow="0" w:lastRow="0" w:firstColumn="0" w:lastColumn="0" w:oddVBand="0" w:evenVBand="0" w:oddHBand="1" w:evenHBand="0" w:firstRowFirstColumn="0" w:firstRowLastColumn="0" w:lastRowFirstColumn="0" w:lastRowLastColumn="0"/>
            </w:pPr>
            <w:r>
              <w:rPr>
                <w:sz w:val="18"/>
                <w:szCs w:val="18"/>
              </w:rPr>
              <w:t>Public Services activities other than L/M Income Housing Benefit</w:t>
            </w:r>
          </w:p>
        </w:tc>
        <w:tc>
          <w:tcPr>
            <w:tcW w:w="425" w:type="pct"/>
          </w:tcPr>
          <w:p w:rsidR="00E32F09" w:rsidRPr="002B2C92" w:rsidRDefault="00693C5B">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Persons Assisted</w:t>
            </w:r>
          </w:p>
        </w:tc>
        <w:tc>
          <w:tcPr>
            <w:tcW w:w="35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12000</w:t>
            </w:r>
          </w:p>
        </w:tc>
        <w:tc>
          <w:tcPr>
            <w:tcW w:w="34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7355</w:t>
            </w:r>
          </w:p>
        </w:tc>
        <w:tc>
          <w:tcPr>
            <w:tcW w:w="371" w:type="pct"/>
          </w:tcPr>
          <w:p w:rsidR="00E32F09" w:rsidRDefault="00E32F09">
            <w:pPr>
              <w:spacing w:beforeAutospacing="1" w:afterAutospacing="1"/>
              <w:cnfStyle w:val="000000100000" w:firstRow="0" w:lastRow="0" w:firstColumn="0" w:lastColumn="0" w:oddVBand="0" w:evenVBand="0" w:oddHBand="1" w:evenHBand="0" w:firstRowFirstColumn="0" w:firstRowLastColumn="0" w:lastRowFirstColumn="0" w:lastRowLastColumn="0"/>
            </w:pPr>
          </w:p>
        </w:tc>
        <w:tc>
          <w:tcPr>
            <w:tcW w:w="357" w:type="pct"/>
          </w:tcPr>
          <w:p w:rsidR="00E32F09"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8000</w:t>
            </w:r>
          </w:p>
        </w:tc>
        <w:tc>
          <w:tcPr>
            <w:tcW w:w="341" w:type="pct"/>
          </w:tcPr>
          <w:p w:rsidR="00E32F09"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7355</w:t>
            </w:r>
          </w:p>
        </w:tc>
        <w:tc>
          <w:tcPr>
            <w:tcW w:w="371" w:type="pct"/>
          </w:tcPr>
          <w:p w:rsidR="00E32F09"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61%</w:t>
            </w:r>
          </w:p>
        </w:tc>
      </w:tr>
      <w:tr w:rsidR="002B2C92" w:rsidTr="00CB6147">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Provide Public Services Targeted to Youth</w:t>
            </w:r>
          </w:p>
        </w:tc>
        <w:tc>
          <w:tcPr>
            <w:tcW w:w="511" w:type="pct"/>
          </w:tcPr>
          <w:p w:rsidR="00E32F09" w:rsidRPr="002B2C92"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color w:val="000000"/>
                <w:sz w:val="18"/>
                <w:szCs w:val="18"/>
              </w:rPr>
              <w:t>Non-Housing Community Development</w:t>
            </w:r>
          </w:p>
        </w:tc>
        <w:tc>
          <w:tcPr>
            <w:tcW w:w="328" w:type="pct"/>
          </w:tcPr>
          <w:p w:rsidR="00E32F09" w:rsidRPr="002B2C92" w:rsidRDefault="00C60E74">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sz w:val="18"/>
                <w:szCs w:val="18"/>
              </w:rPr>
              <w:t>CDBG: $</w:t>
            </w:r>
          </w:p>
        </w:tc>
        <w:tc>
          <w:tcPr>
            <w:tcW w:w="777" w:type="pct"/>
          </w:tcPr>
          <w:p w:rsidR="00E32F09" w:rsidRDefault="00693C5B">
            <w:pPr>
              <w:spacing w:beforeAutospacing="1" w:afterAutospacing="1"/>
              <w:cnfStyle w:val="000000000000" w:firstRow="0" w:lastRow="0" w:firstColumn="0" w:lastColumn="0" w:oddVBand="0" w:evenVBand="0" w:oddHBand="0" w:evenHBand="0" w:firstRowFirstColumn="0" w:firstRowLastColumn="0" w:lastRowFirstColumn="0" w:lastRowLastColumn="0"/>
            </w:pPr>
            <w:r>
              <w:rPr>
                <w:sz w:val="18"/>
                <w:szCs w:val="18"/>
              </w:rPr>
              <w:t>Public Services activities other than L/M Income Housing Benefit</w:t>
            </w:r>
          </w:p>
        </w:tc>
        <w:tc>
          <w:tcPr>
            <w:tcW w:w="425" w:type="pct"/>
          </w:tcPr>
          <w:p w:rsidR="00E32F09" w:rsidRPr="002B2C92" w:rsidRDefault="00693C5B">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Persons Assisted</w:t>
            </w:r>
          </w:p>
        </w:tc>
        <w:tc>
          <w:tcPr>
            <w:tcW w:w="35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3000</w:t>
            </w:r>
          </w:p>
        </w:tc>
        <w:tc>
          <w:tcPr>
            <w:tcW w:w="34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475</w:t>
            </w:r>
          </w:p>
        </w:tc>
        <w:tc>
          <w:tcPr>
            <w:tcW w:w="371" w:type="pct"/>
          </w:tcPr>
          <w:p w:rsidR="00E32F09" w:rsidRDefault="00E32F09">
            <w:pPr>
              <w:spacing w:beforeAutospacing="1" w:afterAutospacing="1"/>
              <w:cnfStyle w:val="000000000000" w:firstRow="0" w:lastRow="0" w:firstColumn="0" w:lastColumn="0" w:oddVBand="0" w:evenVBand="0" w:oddHBand="0" w:evenHBand="0" w:firstRowFirstColumn="0" w:firstRowLastColumn="0" w:lastRowFirstColumn="0" w:lastRowLastColumn="0"/>
            </w:pPr>
          </w:p>
        </w:tc>
        <w:tc>
          <w:tcPr>
            <w:tcW w:w="357" w:type="pct"/>
          </w:tcPr>
          <w:p w:rsidR="00E32F09" w:rsidRDefault="00AA228B">
            <w:pPr>
              <w:spacing w:beforeAutospacing="1" w:afterAutospacing="1"/>
              <w:cnfStyle w:val="000000000000" w:firstRow="0" w:lastRow="0" w:firstColumn="0" w:lastColumn="0" w:oddVBand="0" w:evenVBand="0" w:oddHBand="0" w:evenHBand="0" w:firstRowFirstColumn="0" w:firstRowLastColumn="0" w:lastRowFirstColumn="0" w:lastRowLastColumn="0"/>
            </w:pPr>
            <w:r>
              <w:t>400</w:t>
            </w:r>
          </w:p>
        </w:tc>
        <w:tc>
          <w:tcPr>
            <w:tcW w:w="341" w:type="pct"/>
          </w:tcPr>
          <w:p w:rsidR="00E32F09" w:rsidRDefault="00AA228B">
            <w:pPr>
              <w:spacing w:beforeAutospacing="1" w:afterAutospacing="1"/>
              <w:cnfStyle w:val="000000000000" w:firstRow="0" w:lastRow="0" w:firstColumn="0" w:lastColumn="0" w:oddVBand="0" w:evenVBand="0" w:oddHBand="0" w:evenHBand="0" w:firstRowFirstColumn="0" w:firstRowLastColumn="0" w:lastRowFirstColumn="0" w:lastRowLastColumn="0"/>
            </w:pPr>
            <w:r>
              <w:t>475</w:t>
            </w:r>
          </w:p>
        </w:tc>
        <w:tc>
          <w:tcPr>
            <w:tcW w:w="371" w:type="pct"/>
          </w:tcPr>
          <w:p w:rsidR="00E32F09" w:rsidRDefault="00AA228B">
            <w:pPr>
              <w:spacing w:beforeAutospacing="1" w:afterAutospacing="1"/>
              <w:cnfStyle w:val="000000000000" w:firstRow="0" w:lastRow="0" w:firstColumn="0" w:lastColumn="0" w:oddVBand="0" w:evenVBand="0" w:oddHBand="0" w:evenHBand="0" w:firstRowFirstColumn="0" w:firstRowLastColumn="0" w:lastRowFirstColumn="0" w:lastRowLastColumn="0"/>
            </w:pPr>
            <w:r>
              <w:t>16%</w:t>
            </w:r>
          </w:p>
        </w:tc>
      </w:tr>
      <w:tr w:rsidR="002B2C92" w:rsidTr="00CB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Provide Rental Assistance To VLI Households</w:t>
            </w:r>
          </w:p>
        </w:tc>
        <w:tc>
          <w:tcPr>
            <w:tcW w:w="511" w:type="pct"/>
          </w:tcPr>
          <w:p w:rsidR="00E32F09" w:rsidRPr="002B2C92"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color w:val="000000"/>
                <w:sz w:val="18"/>
                <w:szCs w:val="18"/>
              </w:rPr>
              <w:t>Affordable Housing</w:t>
            </w:r>
          </w:p>
        </w:tc>
        <w:tc>
          <w:tcPr>
            <w:tcW w:w="328" w:type="pct"/>
          </w:tcPr>
          <w:p w:rsidR="00E32F09" w:rsidRPr="002B2C92" w:rsidRDefault="00C60E74">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Section 8: $</w:t>
            </w:r>
          </w:p>
        </w:tc>
        <w:tc>
          <w:tcPr>
            <w:tcW w:w="777" w:type="pct"/>
          </w:tcPr>
          <w:p w:rsidR="00E32F09" w:rsidRPr="00693C5B" w:rsidRDefault="00693C5B">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693C5B">
              <w:rPr>
                <w:sz w:val="18"/>
                <w:szCs w:val="18"/>
              </w:rPr>
              <w:t>Tenant Based Rental Assistance / Rapid Rehousing</w:t>
            </w:r>
          </w:p>
        </w:tc>
        <w:tc>
          <w:tcPr>
            <w:tcW w:w="425" w:type="pct"/>
          </w:tcPr>
          <w:p w:rsidR="00E32F09" w:rsidRPr="002B2C92" w:rsidRDefault="00693C5B">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Households Assisted</w:t>
            </w:r>
          </w:p>
        </w:tc>
        <w:tc>
          <w:tcPr>
            <w:tcW w:w="35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1750</w:t>
            </w:r>
          </w:p>
        </w:tc>
        <w:tc>
          <w:tcPr>
            <w:tcW w:w="34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0</w:t>
            </w:r>
          </w:p>
        </w:tc>
        <w:tc>
          <w:tcPr>
            <w:tcW w:w="371"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0.00%</w:t>
            </w:r>
          </w:p>
        </w:tc>
        <w:tc>
          <w:tcPr>
            <w:tcW w:w="357" w:type="pct"/>
          </w:tcPr>
          <w:p w:rsidR="00E32F09"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340</w:t>
            </w:r>
          </w:p>
        </w:tc>
        <w:tc>
          <w:tcPr>
            <w:tcW w:w="341" w:type="pct"/>
          </w:tcPr>
          <w:p w:rsidR="00E32F09"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0</w:t>
            </w:r>
          </w:p>
        </w:tc>
        <w:tc>
          <w:tcPr>
            <w:tcW w:w="371" w:type="pct"/>
          </w:tcPr>
          <w:p w:rsidR="00E32F09"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t>0.0%</w:t>
            </w:r>
          </w:p>
        </w:tc>
      </w:tr>
      <w:tr w:rsidR="002B2C92" w:rsidTr="00CB6147">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Provide Services To Homeless Persons/Families</w:t>
            </w:r>
          </w:p>
        </w:tc>
        <w:tc>
          <w:tcPr>
            <w:tcW w:w="511" w:type="pct"/>
          </w:tcPr>
          <w:p w:rsidR="00E32F09" w:rsidRPr="002B2C92"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color w:val="000000"/>
                <w:sz w:val="18"/>
                <w:szCs w:val="18"/>
              </w:rPr>
              <w:t>Homeless</w:t>
            </w:r>
          </w:p>
        </w:tc>
        <w:tc>
          <w:tcPr>
            <w:tcW w:w="328" w:type="pct"/>
          </w:tcPr>
          <w:p w:rsidR="00E32F09" w:rsidRPr="002B2C92" w:rsidRDefault="00C60E74">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sz w:val="18"/>
                <w:szCs w:val="18"/>
              </w:rPr>
              <w:t>CDBG: $</w:t>
            </w:r>
          </w:p>
        </w:tc>
        <w:tc>
          <w:tcPr>
            <w:tcW w:w="777" w:type="pct"/>
          </w:tcPr>
          <w:p w:rsidR="00E32F09" w:rsidRDefault="00693C5B">
            <w:pPr>
              <w:spacing w:beforeAutospacing="1" w:afterAutospacing="1"/>
              <w:cnfStyle w:val="000000000000" w:firstRow="0" w:lastRow="0" w:firstColumn="0" w:lastColumn="0" w:oddVBand="0" w:evenVBand="0" w:oddHBand="0" w:evenHBand="0" w:firstRowFirstColumn="0" w:firstRowLastColumn="0" w:lastRowFirstColumn="0" w:lastRowLastColumn="0"/>
            </w:pPr>
            <w:r>
              <w:t>Homeless Person Overnight Shelter</w:t>
            </w:r>
          </w:p>
        </w:tc>
        <w:tc>
          <w:tcPr>
            <w:tcW w:w="425" w:type="pct"/>
          </w:tcPr>
          <w:p w:rsidR="00E32F09" w:rsidRPr="002B2C92" w:rsidRDefault="00CB6147">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Persons Assisted</w:t>
            </w:r>
          </w:p>
        </w:tc>
        <w:tc>
          <w:tcPr>
            <w:tcW w:w="35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175</w:t>
            </w:r>
          </w:p>
        </w:tc>
        <w:tc>
          <w:tcPr>
            <w:tcW w:w="34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0</w:t>
            </w:r>
          </w:p>
        </w:tc>
        <w:tc>
          <w:tcPr>
            <w:tcW w:w="371" w:type="pct"/>
          </w:tcPr>
          <w:p w:rsidR="00E32F09"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pPr>
            <w:r>
              <w:rPr>
                <w:color w:val="000000"/>
              </w:rPr>
              <w:t xml:space="preserve"> </w:t>
            </w:r>
            <w:r w:rsidR="00540A49">
              <w:t>0.00%</w:t>
            </w:r>
          </w:p>
        </w:tc>
        <w:tc>
          <w:tcPr>
            <w:tcW w:w="357" w:type="pct"/>
          </w:tcPr>
          <w:p w:rsidR="00E32F09" w:rsidRDefault="00E32F09">
            <w:pPr>
              <w:spacing w:beforeAutospacing="1" w:afterAutospacing="1"/>
              <w:cnfStyle w:val="000000000000" w:firstRow="0" w:lastRow="0" w:firstColumn="0" w:lastColumn="0" w:oddVBand="0" w:evenVBand="0" w:oddHBand="0" w:evenHBand="0" w:firstRowFirstColumn="0" w:firstRowLastColumn="0" w:lastRowFirstColumn="0" w:lastRowLastColumn="0"/>
            </w:pPr>
          </w:p>
        </w:tc>
        <w:tc>
          <w:tcPr>
            <w:tcW w:w="341" w:type="pct"/>
          </w:tcPr>
          <w:p w:rsidR="00E32F09" w:rsidRDefault="00AA228B">
            <w:pPr>
              <w:spacing w:beforeAutospacing="1" w:afterAutospacing="1"/>
              <w:cnfStyle w:val="000000000000" w:firstRow="0" w:lastRow="0" w:firstColumn="0" w:lastColumn="0" w:oddVBand="0" w:evenVBand="0" w:oddHBand="0" w:evenHBand="0" w:firstRowFirstColumn="0" w:firstRowLastColumn="0" w:lastRowFirstColumn="0" w:lastRowLastColumn="0"/>
            </w:pPr>
            <w:r>
              <w:t>0</w:t>
            </w:r>
          </w:p>
        </w:tc>
        <w:tc>
          <w:tcPr>
            <w:tcW w:w="371" w:type="pct"/>
          </w:tcPr>
          <w:p w:rsidR="00E32F09" w:rsidRDefault="00AA228B">
            <w:pPr>
              <w:spacing w:beforeAutospacing="1" w:afterAutospacing="1"/>
              <w:cnfStyle w:val="000000000000" w:firstRow="0" w:lastRow="0" w:firstColumn="0" w:lastColumn="0" w:oddVBand="0" w:evenVBand="0" w:oddHBand="0" w:evenHBand="0" w:firstRowFirstColumn="0" w:firstRowLastColumn="0" w:lastRowFirstColumn="0" w:lastRowLastColumn="0"/>
            </w:pPr>
            <w:r>
              <w:t>0.0%</w:t>
            </w:r>
          </w:p>
        </w:tc>
      </w:tr>
      <w:tr w:rsidR="002B2C92" w:rsidTr="00CB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Provide Services To Homeless Persons/Families</w:t>
            </w:r>
          </w:p>
        </w:tc>
        <w:tc>
          <w:tcPr>
            <w:tcW w:w="511" w:type="pct"/>
          </w:tcPr>
          <w:p w:rsidR="00E32F09" w:rsidRPr="002B2C92"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color w:val="000000"/>
                <w:sz w:val="18"/>
                <w:szCs w:val="18"/>
              </w:rPr>
              <w:t>Homeless</w:t>
            </w:r>
          </w:p>
        </w:tc>
        <w:tc>
          <w:tcPr>
            <w:tcW w:w="328" w:type="pct"/>
          </w:tcPr>
          <w:p w:rsidR="00E32F09" w:rsidRPr="002B2C92" w:rsidRDefault="00C60E74">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CDBG: $</w:t>
            </w:r>
          </w:p>
        </w:tc>
        <w:tc>
          <w:tcPr>
            <w:tcW w:w="777" w:type="pct"/>
          </w:tcPr>
          <w:p w:rsidR="00E32F09" w:rsidRDefault="00693C5B">
            <w:pPr>
              <w:spacing w:beforeAutospacing="1" w:afterAutospacing="1"/>
              <w:cnfStyle w:val="000000100000" w:firstRow="0" w:lastRow="0" w:firstColumn="0" w:lastColumn="0" w:oddVBand="0" w:evenVBand="0" w:oddHBand="1" w:evenHBand="0" w:firstRowFirstColumn="0" w:firstRowLastColumn="0" w:lastRowFirstColumn="0" w:lastRowLastColumn="0"/>
            </w:pPr>
            <w:r>
              <w:t>Homelessness Prevention</w:t>
            </w:r>
          </w:p>
        </w:tc>
        <w:tc>
          <w:tcPr>
            <w:tcW w:w="425" w:type="pct"/>
          </w:tcPr>
          <w:p w:rsidR="00E32F09" w:rsidRPr="002B2C92" w:rsidRDefault="00CB6147">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Persons Assisted</w:t>
            </w:r>
          </w:p>
        </w:tc>
        <w:tc>
          <w:tcPr>
            <w:tcW w:w="35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800</w:t>
            </w:r>
          </w:p>
        </w:tc>
        <w:tc>
          <w:tcPr>
            <w:tcW w:w="34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0</w:t>
            </w:r>
          </w:p>
        </w:tc>
        <w:tc>
          <w:tcPr>
            <w:tcW w:w="371"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0.00%</w:t>
            </w:r>
          </w:p>
        </w:tc>
        <w:tc>
          <w:tcPr>
            <w:tcW w:w="357" w:type="pct"/>
          </w:tcPr>
          <w:p w:rsidR="00E32F09"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pPr>
            <w:r>
              <w:rPr>
                <w:color w:val="000000"/>
              </w:rPr>
              <w:t xml:space="preserve"> </w:t>
            </w:r>
            <w:r w:rsidR="00AA228B">
              <w:rPr>
                <w:color w:val="000000"/>
              </w:rPr>
              <w:t>10</w:t>
            </w:r>
          </w:p>
        </w:tc>
        <w:tc>
          <w:tcPr>
            <w:tcW w:w="341" w:type="pct"/>
          </w:tcPr>
          <w:p w:rsidR="00E32F09"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pPr>
            <w:r>
              <w:rPr>
                <w:color w:val="000000"/>
              </w:rPr>
              <w:t xml:space="preserve"> </w:t>
            </w:r>
            <w:r w:rsidR="00AA228B">
              <w:rPr>
                <w:color w:val="000000"/>
              </w:rPr>
              <w:t>0</w:t>
            </w:r>
          </w:p>
        </w:tc>
        <w:tc>
          <w:tcPr>
            <w:tcW w:w="371" w:type="pct"/>
          </w:tcPr>
          <w:p w:rsidR="00E32F09"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pPr>
            <w:r>
              <w:rPr>
                <w:color w:val="000000"/>
              </w:rPr>
              <w:t xml:space="preserve"> </w:t>
            </w:r>
            <w:r w:rsidR="00AA228B">
              <w:rPr>
                <w:color w:val="000000"/>
              </w:rPr>
              <w:t>0.0%</w:t>
            </w:r>
          </w:p>
        </w:tc>
      </w:tr>
      <w:tr w:rsidR="002B2C92" w:rsidTr="00CB6147">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Provide Services To Homeless Persons/Families</w:t>
            </w:r>
          </w:p>
        </w:tc>
        <w:tc>
          <w:tcPr>
            <w:tcW w:w="511" w:type="pct"/>
          </w:tcPr>
          <w:p w:rsidR="00E32F09" w:rsidRPr="002B2C92"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color w:val="000000"/>
                <w:sz w:val="18"/>
                <w:szCs w:val="18"/>
              </w:rPr>
              <w:t>Homeless</w:t>
            </w:r>
          </w:p>
        </w:tc>
        <w:tc>
          <w:tcPr>
            <w:tcW w:w="328" w:type="pct"/>
          </w:tcPr>
          <w:p w:rsidR="00E32F09" w:rsidRPr="002B2C92" w:rsidRDefault="00C60E74">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2B2C92">
              <w:rPr>
                <w:sz w:val="18"/>
                <w:szCs w:val="18"/>
              </w:rPr>
              <w:t>CDBG: $</w:t>
            </w:r>
          </w:p>
        </w:tc>
        <w:tc>
          <w:tcPr>
            <w:tcW w:w="777" w:type="pct"/>
          </w:tcPr>
          <w:p w:rsidR="00E32F09" w:rsidRDefault="00693C5B">
            <w:pPr>
              <w:spacing w:beforeAutospacing="1" w:afterAutospacing="1"/>
              <w:cnfStyle w:val="000000000000" w:firstRow="0" w:lastRow="0" w:firstColumn="0" w:lastColumn="0" w:oddVBand="0" w:evenVBand="0" w:oddHBand="0" w:evenHBand="0" w:firstRowFirstColumn="0" w:firstRowLastColumn="0" w:lastRowFirstColumn="0" w:lastRowLastColumn="0"/>
            </w:pPr>
            <w:r>
              <w:rPr>
                <w:sz w:val="18"/>
                <w:szCs w:val="18"/>
              </w:rPr>
              <w:t>Public Services activities other than L/M Income Housing Benefit</w:t>
            </w:r>
          </w:p>
        </w:tc>
        <w:tc>
          <w:tcPr>
            <w:tcW w:w="425" w:type="pct"/>
          </w:tcPr>
          <w:p w:rsidR="00E32F09" w:rsidRPr="00CB6147" w:rsidRDefault="00CB6147">
            <w:pPr>
              <w:spacing w:beforeAutospacing="1" w:afterAutospacing="1"/>
              <w:cnfStyle w:val="000000000000" w:firstRow="0" w:lastRow="0" w:firstColumn="0" w:lastColumn="0" w:oddVBand="0" w:evenVBand="0" w:oddHBand="0" w:evenHBand="0" w:firstRowFirstColumn="0" w:firstRowLastColumn="0" w:lastRowFirstColumn="0" w:lastRowLastColumn="0"/>
              <w:rPr>
                <w:sz w:val="18"/>
                <w:szCs w:val="18"/>
              </w:rPr>
            </w:pPr>
            <w:r w:rsidRPr="00CB6147">
              <w:rPr>
                <w:sz w:val="18"/>
                <w:szCs w:val="18"/>
              </w:rPr>
              <w:t>Persons Assisted</w:t>
            </w:r>
          </w:p>
        </w:tc>
        <w:tc>
          <w:tcPr>
            <w:tcW w:w="35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0</w:t>
            </w:r>
          </w:p>
        </w:tc>
        <w:tc>
          <w:tcPr>
            <w:tcW w:w="347"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0</w:t>
            </w:r>
          </w:p>
        </w:tc>
        <w:tc>
          <w:tcPr>
            <w:tcW w:w="371" w:type="pct"/>
          </w:tcPr>
          <w:p w:rsidR="00E32F09" w:rsidRDefault="00540A49">
            <w:pPr>
              <w:spacing w:beforeAutospacing="1" w:afterAutospacing="1"/>
              <w:cnfStyle w:val="000000000000" w:firstRow="0" w:lastRow="0" w:firstColumn="0" w:lastColumn="0" w:oddVBand="0" w:evenVBand="0" w:oddHBand="0" w:evenHBand="0" w:firstRowFirstColumn="0" w:firstRowLastColumn="0" w:lastRowFirstColumn="0" w:lastRowLastColumn="0"/>
            </w:pPr>
            <w:r>
              <w:t>0.00%</w:t>
            </w:r>
          </w:p>
        </w:tc>
        <w:tc>
          <w:tcPr>
            <w:tcW w:w="357" w:type="pct"/>
          </w:tcPr>
          <w:p w:rsidR="00E32F09"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pPr>
            <w:r>
              <w:rPr>
                <w:color w:val="000000"/>
              </w:rPr>
              <w:t xml:space="preserve"> </w:t>
            </w:r>
            <w:r w:rsidR="00AA228B">
              <w:rPr>
                <w:color w:val="000000"/>
              </w:rPr>
              <w:t>40</w:t>
            </w:r>
          </w:p>
        </w:tc>
        <w:tc>
          <w:tcPr>
            <w:tcW w:w="341" w:type="pct"/>
          </w:tcPr>
          <w:p w:rsidR="00E32F09"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pPr>
            <w:r>
              <w:rPr>
                <w:color w:val="000000"/>
              </w:rPr>
              <w:t xml:space="preserve"> </w:t>
            </w:r>
            <w:r w:rsidR="00AA228B">
              <w:rPr>
                <w:color w:val="000000"/>
              </w:rPr>
              <w:t>0</w:t>
            </w:r>
          </w:p>
        </w:tc>
        <w:tc>
          <w:tcPr>
            <w:tcW w:w="371" w:type="pct"/>
          </w:tcPr>
          <w:p w:rsidR="00E32F09" w:rsidRDefault="00550C26">
            <w:pPr>
              <w:spacing w:beforeAutospacing="1" w:afterAutospacing="1"/>
              <w:cnfStyle w:val="000000000000" w:firstRow="0" w:lastRow="0" w:firstColumn="0" w:lastColumn="0" w:oddVBand="0" w:evenVBand="0" w:oddHBand="0" w:evenHBand="0" w:firstRowFirstColumn="0" w:firstRowLastColumn="0" w:lastRowFirstColumn="0" w:lastRowLastColumn="0"/>
            </w:pPr>
            <w:r>
              <w:rPr>
                <w:color w:val="000000"/>
              </w:rPr>
              <w:t xml:space="preserve"> </w:t>
            </w:r>
            <w:r w:rsidR="00AA228B">
              <w:rPr>
                <w:color w:val="000000"/>
              </w:rPr>
              <w:t>0.0%</w:t>
            </w:r>
          </w:p>
        </w:tc>
      </w:tr>
      <w:tr w:rsidR="002B2C92" w:rsidTr="00CB6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rsidR="00E32F09" w:rsidRPr="002B2C92" w:rsidRDefault="00550C26">
            <w:pPr>
              <w:spacing w:beforeAutospacing="1" w:afterAutospacing="1"/>
              <w:rPr>
                <w:sz w:val="18"/>
                <w:szCs w:val="18"/>
              </w:rPr>
            </w:pPr>
            <w:r w:rsidRPr="002B2C92">
              <w:rPr>
                <w:color w:val="000000"/>
                <w:sz w:val="18"/>
                <w:szCs w:val="18"/>
              </w:rPr>
              <w:t>Provide Services To The Disabled</w:t>
            </w:r>
          </w:p>
        </w:tc>
        <w:tc>
          <w:tcPr>
            <w:tcW w:w="511" w:type="pct"/>
          </w:tcPr>
          <w:p w:rsidR="00E32F09" w:rsidRPr="002B2C92"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color w:val="000000"/>
                <w:sz w:val="18"/>
                <w:szCs w:val="18"/>
              </w:rPr>
              <w:t>Non-Housing Community Development</w:t>
            </w:r>
          </w:p>
        </w:tc>
        <w:tc>
          <w:tcPr>
            <w:tcW w:w="328" w:type="pct"/>
          </w:tcPr>
          <w:p w:rsidR="00E32F09" w:rsidRPr="002B2C92" w:rsidRDefault="00C60E74">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2B2C92">
              <w:rPr>
                <w:sz w:val="18"/>
                <w:szCs w:val="18"/>
              </w:rPr>
              <w:t>CDBG: $</w:t>
            </w:r>
          </w:p>
        </w:tc>
        <w:tc>
          <w:tcPr>
            <w:tcW w:w="777" w:type="pct"/>
          </w:tcPr>
          <w:p w:rsidR="00E32F09" w:rsidRDefault="00693C5B">
            <w:pPr>
              <w:spacing w:beforeAutospacing="1" w:afterAutospacing="1"/>
              <w:cnfStyle w:val="000000100000" w:firstRow="0" w:lastRow="0" w:firstColumn="0" w:lastColumn="0" w:oddVBand="0" w:evenVBand="0" w:oddHBand="1" w:evenHBand="0" w:firstRowFirstColumn="0" w:firstRowLastColumn="0" w:lastRowFirstColumn="0" w:lastRowLastColumn="0"/>
            </w:pPr>
            <w:r>
              <w:rPr>
                <w:sz w:val="18"/>
                <w:szCs w:val="18"/>
              </w:rPr>
              <w:t>Public Services activities other for L/M Income Housing Benefit</w:t>
            </w:r>
          </w:p>
        </w:tc>
        <w:tc>
          <w:tcPr>
            <w:tcW w:w="425" w:type="pct"/>
          </w:tcPr>
          <w:p w:rsidR="00E32F09" w:rsidRPr="00CB6147" w:rsidRDefault="00CB6147">
            <w:pPr>
              <w:spacing w:beforeAutospacing="1" w:afterAutospacing="1"/>
              <w:cnfStyle w:val="000000100000" w:firstRow="0" w:lastRow="0" w:firstColumn="0" w:lastColumn="0" w:oddVBand="0" w:evenVBand="0" w:oddHBand="1" w:evenHBand="0" w:firstRowFirstColumn="0" w:firstRowLastColumn="0" w:lastRowFirstColumn="0" w:lastRowLastColumn="0"/>
              <w:rPr>
                <w:sz w:val="18"/>
                <w:szCs w:val="18"/>
              </w:rPr>
            </w:pPr>
            <w:r w:rsidRPr="00CB6147">
              <w:rPr>
                <w:sz w:val="18"/>
                <w:szCs w:val="18"/>
              </w:rPr>
              <w:t>Households Assisted</w:t>
            </w:r>
          </w:p>
        </w:tc>
        <w:tc>
          <w:tcPr>
            <w:tcW w:w="35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75</w:t>
            </w:r>
          </w:p>
        </w:tc>
        <w:tc>
          <w:tcPr>
            <w:tcW w:w="347"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0</w:t>
            </w:r>
          </w:p>
        </w:tc>
        <w:tc>
          <w:tcPr>
            <w:tcW w:w="371" w:type="pct"/>
          </w:tcPr>
          <w:p w:rsidR="00E32F09" w:rsidRDefault="00540A49">
            <w:pPr>
              <w:spacing w:beforeAutospacing="1" w:afterAutospacing="1"/>
              <w:cnfStyle w:val="000000100000" w:firstRow="0" w:lastRow="0" w:firstColumn="0" w:lastColumn="0" w:oddVBand="0" w:evenVBand="0" w:oddHBand="1" w:evenHBand="0" w:firstRowFirstColumn="0" w:firstRowLastColumn="0" w:lastRowFirstColumn="0" w:lastRowLastColumn="0"/>
            </w:pPr>
            <w:r>
              <w:t>0.00%</w:t>
            </w:r>
          </w:p>
        </w:tc>
        <w:tc>
          <w:tcPr>
            <w:tcW w:w="357" w:type="pct"/>
          </w:tcPr>
          <w:p w:rsidR="00E32F09"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pPr>
            <w:r>
              <w:rPr>
                <w:color w:val="000000"/>
              </w:rPr>
              <w:t xml:space="preserve"> </w:t>
            </w:r>
          </w:p>
        </w:tc>
        <w:tc>
          <w:tcPr>
            <w:tcW w:w="341" w:type="pct"/>
          </w:tcPr>
          <w:p w:rsidR="00E32F09" w:rsidRDefault="00AA228B">
            <w:pPr>
              <w:spacing w:beforeAutospacing="1" w:afterAutospacing="1"/>
              <w:cnfStyle w:val="000000100000" w:firstRow="0" w:lastRow="0" w:firstColumn="0" w:lastColumn="0" w:oddVBand="0" w:evenVBand="0" w:oddHBand="1" w:evenHBand="0" w:firstRowFirstColumn="0" w:firstRowLastColumn="0" w:lastRowFirstColumn="0" w:lastRowLastColumn="0"/>
            </w:pPr>
            <w:r>
              <w:rPr>
                <w:color w:val="000000"/>
              </w:rPr>
              <w:t>0</w:t>
            </w:r>
            <w:r w:rsidR="00550C26">
              <w:rPr>
                <w:color w:val="000000"/>
              </w:rPr>
              <w:t xml:space="preserve"> </w:t>
            </w:r>
          </w:p>
        </w:tc>
        <w:tc>
          <w:tcPr>
            <w:tcW w:w="371" w:type="pct"/>
          </w:tcPr>
          <w:p w:rsidR="00E32F09" w:rsidRDefault="00550C26">
            <w:pPr>
              <w:spacing w:beforeAutospacing="1" w:afterAutospacing="1"/>
              <w:cnfStyle w:val="000000100000" w:firstRow="0" w:lastRow="0" w:firstColumn="0" w:lastColumn="0" w:oddVBand="0" w:evenVBand="0" w:oddHBand="1" w:evenHBand="0" w:firstRowFirstColumn="0" w:firstRowLastColumn="0" w:lastRowFirstColumn="0" w:lastRowLastColumn="0"/>
            </w:pPr>
            <w:r>
              <w:rPr>
                <w:color w:val="000000"/>
              </w:rPr>
              <w:t xml:space="preserve"> </w:t>
            </w:r>
            <w:r w:rsidR="00AA228B">
              <w:rPr>
                <w:color w:val="000000"/>
              </w:rPr>
              <w:t>0.0%</w:t>
            </w:r>
          </w:p>
        </w:tc>
      </w:tr>
    </w:tbl>
    <w:p w:rsidR="00E32F09" w:rsidRDefault="00550C2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46E5D">
        <w:rPr>
          <w:rFonts w:asciiTheme="minorHAnsi" w:hAnsiTheme="minorHAnsi"/>
          <w:noProof/>
        </w:rPr>
        <w:t>1</w:t>
      </w:r>
      <w:r>
        <w:rPr>
          <w:rFonts w:asciiTheme="minorHAnsi" w:hAnsiTheme="minorHAnsi"/>
        </w:rPr>
        <w:fldChar w:fldCharType="end"/>
      </w:r>
      <w:r>
        <w:rPr>
          <w:rFonts w:asciiTheme="minorHAnsi" w:hAnsiTheme="minorHAnsi"/>
        </w:rPr>
        <w:t xml:space="preserve"> - Accomplishments – Program Year &amp; Strategic Plan to Date</w:t>
      </w:r>
    </w:p>
    <w:p w:rsidR="00E32F09" w:rsidRDefault="00E32F09">
      <w:pPr>
        <w:spacing w:after="0" w:line="240" w:lineRule="auto"/>
      </w:pPr>
    </w:p>
    <w:p w:rsidR="00E32F09" w:rsidRDefault="00550C26">
      <w:pPr>
        <w:keepNext/>
        <w:widowControl w:val="0"/>
        <w:rPr>
          <w:b/>
          <w:sz w:val="24"/>
          <w:szCs w:val="24"/>
        </w:rPr>
      </w:pPr>
      <w:r>
        <w:rPr>
          <w:b/>
          <w:sz w:val="24"/>
          <w:szCs w:val="24"/>
        </w:rPr>
        <w:t>Assess how the jurisdiction’s use of funds, particularly CDBG, addresses the priorities and specific objectives identified in the plan, giving special attention to the highest priority activities identified.</w:t>
      </w:r>
    </w:p>
    <w:p w:rsidR="00E32F09" w:rsidRDefault="00550C26">
      <w:pPr>
        <w:keepNext/>
        <w:widowControl w:val="0"/>
        <w:spacing w:beforeAutospacing="1" w:afterAutospacing="1"/>
      </w:pPr>
      <w:r>
        <w:t xml:space="preserve">The town is on track to meet the 5 years goals for most activities.  Final accomplishment data for several economic development, public service, and housing activities was not received and entered into IDIS until shortly after the close of the </w:t>
      </w:r>
      <w:proofErr w:type="spellStart"/>
      <w:r>
        <w:t>the</w:t>
      </w:r>
      <w:proofErr w:type="spellEnd"/>
      <w:r>
        <w:t xml:space="preserve"> first year reporting period.  This data </w:t>
      </w:r>
      <w:r w:rsidR="007678DC">
        <w:t>will be included in the FFY 2022</w:t>
      </w:r>
      <w:r>
        <w:t xml:space="preserve"> report.</w:t>
      </w:r>
    </w:p>
    <w:p w:rsidR="00E32F09" w:rsidRDefault="007678DC">
      <w:pPr>
        <w:keepNext/>
        <w:widowControl w:val="0"/>
        <w:spacing w:beforeAutospacing="1" w:afterAutospacing="1"/>
      </w:pPr>
      <w:r>
        <w:t xml:space="preserve">Expenses for </w:t>
      </w:r>
      <w:r w:rsidR="00550C26">
        <w:t xml:space="preserve">the Housing Choice </w:t>
      </w:r>
      <w:r>
        <w:t>Voucher program are not tracked in the IDIS system.</w:t>
      </w:r>
    </w:p>
    <w:p w:rsidR="00E32F09" w:rsidRDefault="00550C26">
      <w:pPr>
        <w:keepNext/>
        <w:widowControl w:val="0"/>
        <w:spacing w:beforeAutospacing="1" w:afterAutospacing="1"/>
      </w:pPr>
      <w:r>
        <w:t>The Housing Choice Voucher program is the sole funding source for providing rental assistance to low and very-low income persons.  Reporting on the Voucher program is accomplished electronically through HUD's Real Estate Assessment Center (REAC).  During the program year, the number of persons assisted declined due to a larger than normal number of persons leaving the program for a variety of reasons.  Approximately 60% of the persons leased under the program are either elderly or disabled.  As participants die, relocate to congregate care facilities, or are terminated for failure of program family obligations, the amount of time it takes to replace the leased unit has been increased significantly.  This increase is directly related to a lack of funding for staffing resulting f</w:t>
      </w:r>
      <w:r w:rsidR="00156686">
        <w:t>rom HUD's pro-rating (roughly 89</w:t>
      </w:r>
      <w:r>
        <w:t xml:space="preserve">% of the regulatory formula) of administrative fees paid to the town for much of the past decade.  This reduction of critical administrative funding has limited the town's ability to maintain adequate staffing levels or invest in software that would make the program's </w:t>
      </w:r>
      <w:r w:rsidR="00AF0987">
        <w:t>day-to-day</w:t>
      </w:r>
      <w:r>
        <w:t xml:space="preserve"> activities more efficient and cost effective.</w:t>
      </w:r>
    </w:p>
    <w:p w:rsidR="00E32F09" w:rsidRDefault="00550C26">
      <w:pPr>
        <w:keepNext/>
        <w:widowControl w:val="0"/>
        <w:spacing w:beforeAutospacing="1" w:afterAutospacing="1"/>
      </w:pPr>
      <w:r>
        <w:t xml:space="preserve">The CDBG-DR program is the primary funding source for addressing the impacts of the 2011 flood event that created widespread damage in several neighborhoods within the town.  Accomplishments for the CDBG-DR program are reported through HUD's Disaster Recovery Grant Reporting System (DRGRS). As </w:t>
      </w:r>
      <w:r w:rsidR="00AF0987">
        <w:t>of</w:t>
      </w:r>
      <w:r>
        <w:t xml:space="preserve"> November 30, </w:t>
      </w:r>
      <w:r w:rsidR="007678DC">
        <w:t>2022</w:t>
      </w:r>
      <w:r w:rsidR="00AF0987">
        <w:t>,</w:t>
      </w:r>
      <w:r>
        <w:t xml:space="preserve"> the to</w:t>
      </w:r>
      <w:r w:rsidR="007678DC">
        <w:t>wn has expended approximately $9</w:t>
      </w:r>
      <w:r>
        <w:t>,</w:t>
      </w:r>
      <w:r w:rsidR="007678DC">
        <w:t>656,669</w:t>
      </w:r>
      <w:r>
        <w:t xml:space="preserve"> of the $10,137,818 grant award </w:t>
      </w:r>
      <w:r w:rsidR="007678DC">
        <w:t>and expects to expend roughly 100</w:t>
      </w:r>
      <w:r>
        <w:t xml:space="preserve">% of the </w:t>
      </w:r>
      <w:r w:rsidR="007678DC">
        <w:t>grant before the end of the 2023</w:t>
      </w:r>
      <w:r>
        <w:t xml:space="preserve"> construction season.</w:t>
      </w:r>
    </w:p>
    <w:p w:rsidR="00E32F09" w:rsidRDefault="00E32F09">
      <w:pPr>
        <w:keepNext/>
        <w:widowControl w:val="0"/>
        <w:spacing w:line="204" w:lineRule="auto"/>
        <w:rPr>
          <w:b/>
          <w:sz w:val="24"/>
          <w:szCs w:val="24"/>
        </w:rPr>
      </w:pPr>
    </w:p>
    <w:p w:rsidR="00E32F09" w:rsidRDefault="00E32F09">
      <w:pPr>
        <w:rPr>
          <w:b/>
          <w:i/>
          <w:sz w:val="26"/>
          <w:szCs w:val="26"/>
        </w:rPr>
        <w:sectPr w:rsidR="00E32F09" w:rsidSect="00493F19">
          <w:footerReference w:type="default" r:id="rId9"/>
          <w:pgSz w:w="12240" w:h="15840"/>
          <w:pgMar w:top="1152" w:right="1152" w:bottom="1152" w:left="1152" w:header="720" w:footer="720"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0"/>
          <w:cols w:space="720"/>
          <w:titlePg/>
          <w:docGrid w:linePitch="360"/>
        </w:sectPr>
      </w:pPr>
    </w:p>
    <w:p w:rsidR="00E32F09" w:rsidRDefault="00550C26">
      <w:pPr>
        <w:pStyle w:val="Heading2"/>
        <w:rPr>
          <w:rFonts w:asciiTheme="minorHAnsi" w:hAnsiTheme="minorHAnsi"/>
          <w:i w:val="0"/>
        </w:rPr>
      </w:pPr>
      <w:bookmarkStart w:id="0" w:name="_Toc309810474"/>
      <w:r>
        <w:rPr>
          <w:rFonts w:asciiTheme="minorHAnsi" w:hAnsiTheme="minorHAnsi"/>
          <w:i w:val="0"/>
        </w:rPr>
        <w:t>CR-10 - Racial and Ethnic composition of families assisted</w:t>
      </w:r>
    </w:p>
    <w:p w:rsidR="00E32F09" w:rsidRDefault="00550C26">
      <w:pPr>
        <w:keepNext/>
        <w:widowControl w:val="0"/>
        <w:rPr>
          <w:b/>
          <w:sz w:val="24"/>
          <w:szCs w:val="24"/>
        </w:rPr>
      </w:pPr>
      <w:r>
        <w:rPr>
          <w:b/>
          <w:sz w:val="24"/>
          <w:szCs w:val="24"/>
        </w:rPr>
        <w:t xml:space="preserve">Describe the families assisted (including the racial and ethnic status of families assisted). 91.520(a) </w:t>
      </w:r>
    </w:p>
    <w:p w:rsidR="00E32F09" w:rsidRDefault="00E32F09">
      <w:pPr>
        <w:widowControl w:val="0"/>
        <w:spacing w:after="0" w:line="240" w:lineRule="auto"/>
        <w:rPr>
          <w:b/>
          <w:vanish/>
          <w:sz w:val="24"/>
          <w:szCs w:val="24"/>
        </w:rPr>
      </w:pPr>
    </w:p>
    <w:tbl>
      <w:tblPr>
        <w:tblW w:w="333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3"/>
        <w:gridCol w:w="1528"/>
      </w:tblGrid>
      <w:tr w:rsidR="00E32F09" w:rsidTr="00571503">
        <w:trPr>
          <w:cantSplit/>
          <w:hidden/>
        </w:trPr>
        <w:tc>
          <w:tcPr>
            <w:tcW w:w="3774" w:type="pct"/>
          </w:tcPr>
          <w:p w:rsidR="00E32F09" w:rsidRDefault="00E32F09">
            <w:pPr>
              <w:widowControl w:val="0"/>
              <w:spacing w:after="0" w:line="240" w:lineRule="auto"/>
              <w:rPr>
                <w:vanish/>
              </w:rPr>
            </w:pPr>
          </w:p>
        </w:tc>
        <w:tc>
          <w:tcPr>
            <w:tcW w:w="1226" w:type="pct"/>
          </w:tcPr>
          <w:p w:rsidR="00E32F09" w:rsidRDefault="00550C26">
            <w:pPr>
              <w:spacing w:after="0"/>
              <w:jc w:val="center"/>
              <w:rPr>
                <w:b/>
              </w:rPr>
            </w:pPr>
            <w:r>
              <w:rPr>
                <w:b/>
              </w:rPr>
              <w:t>CDBG</w:t>
            </w:r>
          </w:p>
        </w:tc>
      </w:tr>
      <w:tr w:rsidR="00E32F09" w:rsidTr="00571503">
        <w:trPr>
          <w:cantSplit/>
        </w:trPr>
        <w:tc>
          <w:tcPr>
            <w:tcW w:w="3774" w:type="pct"/>
            <w:shd w:val="clear" w:color="auto" w:fill="auto"/>
            <w:vAlign w:val="bottom"/>
          </w:tcPr>
          <w:p w:rsidR="00E32F09" w:rsidRPr="00571503" w:rsidRDefault="00550C26">
            <w:pPr>
              <w:spacing w:beforeAutospacing="1" w:afterAutospacing="1"/>
            </w:pPr>
            <w:r w:rsidRPr="00571503">
              <w:rPr>
                <w:color w:val="000000"/>
              </w:rPr>
              <w:t>White</w:t>
            </w:r>
          </w:p>
        </w:tc>
        <w:tc>
          <w:tcPr>
            <w:tcW w:w="1226" w:type="pct"/>
            <w:vAlign w:val="bottom"/>
          </w:tcPr>
          <w:p w:rsidR="00E32F09" w:rsidRDefault="00571503">
            <w:pPr>
              <w:spacing w:beforeAutospacing="1" w:afterAutospacing="1"/>
              <w:jc w:val="right"/>
            </w:pPr>
            <w:r>
              <w:t>3545</w:t>
            </w:r>
          </w:p>
        </w:tc>
      </w:tr>
      <w:tr w:rsidR="00E32F09" w:rsidTr="00571503">
        <w:trPr>
          <w:cantSplit/>
        </w:trPr>
        <w:tc>
          <w:tcPr>
            <w:tcW w:w="3774" w:type="pct"/>
            <w:shd w:val="clear" w:color="auto" w:fill="auto"/>
            <w:vAlign w:val="bottom"/>
          </w:tcPr>
          <w:p w:rsidR="00E32F09" w:rsidRPr="004836FA" w:rsidRDefault="00550C26">
            <w:pPr>
              <w:spacing w:beforeAutospacing="1" w:afterAutospacing="1"/>
              <w:rPr>
                <w:highlight w:val="yellow"/>
              </w:rPr>
            </w:pPr>
            <w:r w:rsidRPr="00571503">
              <w:rPr>
                <w:color w:val="000000"/>
              </w:rPr>
              <w:t>Black or African American</w:t>
            </w:r>
          </w:p>
        </w:tc>
        <w:tc>
          <w:tcPr>
            <w:tcW w:w="1226" w:type="pct"/>
            <w:vAlign w:val="bottom"/>
          </w:tcPr>
          <w:p w:rsidR="00E32F09" w:rsidRDefault="00571503">
            <w:pPr>
              <w:spacing w:beforeAutospacing="1" w:afterAutospacing="1"/>
              <w:jc w:val="right"/>
            </w:pPr>
            <w:r>
              <w:t>151</w:t>
            </w:r>
          </w:p>
        </w:tc>
      </w:tr>
      <w:tr w:rsidR="00E32F09" w:rsidTr="00571503">
        <w:trPr>
          <w:cantSplit/>
        </w:trPr>
        <w:tc>
          <w:tcPr>
            <w:tcW w:w="3774" w:type="pct"/>
            <w:shd w:val="clear" w:color="auto" w:fill="auto"/>
            <w:vAlign w:val="bottom"/>
          </w:tcPr>
          <w:p w:rsidR="00E32F09" w:rsidRPr="00571503" w:rsidRDefault="00550C26">
            <w:pPr>
              <w:spacing w:beforeAutospacing="1" w:afterAutospacing="1"/>
            </w:pPr>
            <w:r w:rsidRPr="00571503">
              <w:rPr>
                <w:color w:val="000000"/>
              </w:rPr>
              <w:t>Asian</w:t>
            </w:r>
          </w:p>
        </w:tc>
        <w:tc>
          <w:tcPr>
            <w:tcW w:w="1226" w:type="pct"/>
            <w:vAlign w:val="bottom"/>
          </w:tcPr>
          <w:p w:rsidR="00E32F09" w:rsidRDefault="00571503">
            <w:pPr>
              <w:spacing w:beforeAutospacing="1" w:afterAutospacing="1"/>
              <w:jc w:val="right"/>
            </w:pPr>
            <w:r>
              <w:t>25</w:t>
            </w:r>
          </w:p>
        </w:tc>
      </w:tr>
      <w:tr w:rsidR="00571503" w:rsidTr="00571503">
        <w:trPr>
          <w:cantSplit/>
        </w:trPr>
        <w:tc>
          <w:tcPr>
            <w:tcW w:w="3774" w:type="pct"/>
            <w:shd w:val="clear" w:color="auto" w:fill="auto"/>
            <w:vAlign w:val="bottom"/>
          </w:tcPr>
          <w:p w:rsidR="00571503" w:rsidRPr="00571503" w:rsidRDefault="00571503">
            <w:pPr>
              <w:spacing w:beforeAutospacing="1" w:afterAutospacing="1"/>
              <w:rPr>
                <w:color w:val="000000"/>
              </w:rPr>
            </w:pPr>
            <w:r>
              <w:rPr>
                <w:color w:val="000000"/>
              </w:rPr>
              <w:t>Asian - White</w:t>
            </w:r>
          </w:p>
        </w:tc>
        <w:tc>
          <w:tcPr>
            <w:tcW w:w="1226" w:type="pct"/>
            <w:vAlign w:val="bottom"/>
          </w:tcPr>
          <w:p w:rsidR="00571503" w:rsidRDefault="00571503">
            <w:pPr>
              <w:spacing w:beforeAutospacing="1" w:afterAutospacing="1"/>
              <w:jc w:val="right"/>
            </w:pPr>
            <w:r>
              <w:t>2</w:t>
            </w:r>
          </w:p>
        </w:tc>
      </w:tr>
      <w:tr w:rsidR="00E32F09" w:rsidTr="00571503">
        <w:trPr>
          <w:cantSplit/>
        </w:trPr>
        <w:tc>
          <w:tcPr>
            <w:tcW w:w="3774" w:type="pct"/>
            <w:shd w:val="clear" w:color="auto" w:fill="auto"/>
            <w:vAlign w:val="bottom"/>
          </w:tcPr>
          <w:p w:rsidR="00E32F09" w:rsidRPr="00571503" w:rsidRDefault="00550C26">
            <w:pPr>
              <w:spacing w:beforeAutospacing="1" w:afterAutospacing="1"/>
            </w:pPr>
            <w:r w:rsidRPr="00571503">
              <w:rPr>
                <w:color w:val="000000"/>
              </w:rPr>
              <w:t>American Indian or American Native</w:t>
            </w:r>
          </w:p>
        </w:tc>
        <w:tc>
          <w:tcPr>
            <w:tcW w:w="1226" w:type="pct"/>
            <w:vAlign w:val="bottom"/>
          </w:tcPr>
          <w:p w:rsidR="00E32F09" w:rsidRDefault="00571503">
            <w:pPr>
              <w:spacing w:beforeAutospacing="1" w:afterAutospacing="1"/>
              <w:jc w:val="right"/>
            </w:pPr>
            <w:r>
              <w:t>3</w:t>
            </w:r>
          </w:p>
        </w:tc>
      </w:tr>
      <w:tr w:rsidR="00E32F09" w:rsidTr="00571503">
        <w:trPr>
          <w:cantSplit/>
        </w:trPr>
        <w:tc>
          <w:tcPr>
            <w:tcW w:w="3774" w:type="pct"/>
            <w:shd w:val="clear" w:color="auto" w:fill="auto"/>
            <w:vAlign w:val="bottom"/>
          </w:tcPr>
          <w:p w:rsidR="00E32F09" w:rsidRPr="00571503" w:rsidRDefault="00571503">
            <w:pPr>
              <w:spacing w:beforeAutospacing="1" w:afterAutospacing="1"/>
            </w:pPr>
            <w:r>
              <w:rPr>
                <w:color w:val="000000"/>
              </w:rPr>
              <w:t>Black/African American / White</w:t>
            </w:r>
          </w:p>
        </w:tc>
        <w:tc>
          <w:tcPr>
            <w:tcW w:w="1226" w:type="pct"/>
            <w:vAlign w:val="bottom"/>
          </w:tcPr>
          <w:p w:rsidR="00E32F09" w:rsidRDefault="00571503" w:rsidP="00571503">
            <w:pPr>
              <w:spacing w:beforeAutospacing="1" w:afterAutospacing="1"/>
              <w:jc w:val="right"/>
            </w:pPr>
            <w:r>
              <w:t>75</w:t>
            </w:r>
          </w:p>
        </w:tc>
      </w:tr>
      <w:tr w:rsidR="00571503" w:rsidTr="00571503">
        <w:trPr>
          <w:cantSplit/>
        </w:trPr>
        <w:tc>
          <w:tcPr>
            <w:tcW w:w="3774" w:type="pct"/>
            <w:vAlign w:val="bottom"/>
          </w:tcPr>
          <w:p w:rsidR="00571503" w:rsidRPr="00571503" w:rsidRDefault="00571503">
            <w:pPr>
              <w:spacing w:beforeAutospacing="1" w:afterAutospacing="1"/>
            </w:pPr>
            <w:r w:rsidRPr="00571503">
              <w:t>American Indian – Black/White</w:t>
            </w:r>
          </w:p>
        </w:tc>
        <w:tc>
          <w:tcPr>
            <w:tcW w:w="1226" w:type="pct"/>
            <w:vAlign w:val="bottom"/>
          </w:tcPr>
          <w:p w:rsidR="00571503" w:rsidRDefault="00571503">
            <w:pPr>
              <w:spacing w:beforeAutospacing="1" w:afterAutospacing="1"/>
              <w:jc w:val="right"/>
            </w:pPr>
            <w:r>
              <w:t>12</w:t>
            </w:r>
          </w:p>
        </w:tc>
      </w:tr>
      <w:tr w:rsidR="00571503" w:rsidTr="00571503">
        <w:trPr>
          <w:cantSplit/>
        </w:trPr>
        <w:tc>
          <w:tcPr>
            <w:tcW w:w="3774" w:type="pct"/>
            <w:vAlign w:val="bottom"/>
          </w:tcPr>
          <w:p w:rsidR="00571503" w:rsidRPr="00571503" w:rsidRDefault="00571503">
            <w:pPr>
              <w:spacing w:beforeAutospacing="1" w:afterAutospacing="1"/>
            </w:pPr>
            <w:r w:rsidRPr="00571503">
              <w:t>Multi-Racial</w:t>
            </w:r>
          </w:p>
        </w:tc>
        <w:tc>
          <w:tcPr>
            <w:tcW w:w="1226" w:type="pct"/>
            <w:vAlign w:val="bottom"/>
          </w:tcPr>
          <w:p w:rsidR="00571503" w:rsidRDefault="00571503">
            <w:pPr>
              <w:spacing w:beforeAutospacing="1" w:afterAutospacing="1"/>
              <w:jc w:val="right"/>
            </w:pPr>
            <w:r>
              <w:t>61</w:t>
            </w:r>
          </w:p>
        </w:tc>
      </w:tr>
    </w:tbl>
    <w:p w:rsidR="00E32F09" w:rsidRDefault="00E32F09">
      <w:pPr>
        <w:pStyle w:val="NoSpacing"/>
        <w:rPr>
          <w:vanish/>
        </w:rPr>
      </w:pPr>
    </w:p>
    <w:tbl>
      <w:tblPr>
        <w:tblW w:w="33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3"/>
        <w:gridCol w:w="1528"/>
        <w:gridCol w:w="20"/>
      </w:tblGrid>
      <w:tr w:rsidR="00E32F09">
        <w:trPr>
          <w:cantSplit/>
          <w:hidden/>
        </w:trPr>
        <w:tc>
          <w:tcPr>
            <w:tcW w:w="3761" w:type="pct"/>
          </w:tcPr>
          <w:p w:rsidR="00E32F09" w:rsidRDefault="00E32F09">
            <w:pPr>
              <w:widowControl w:val="0"/>
              <w:spacing w:after="0" w:line="240" w:lineRule="auto"/>
              <w:rPr>
                <w:vanish/>
              </w:rPr>
            </w:pPr>
          </w:p>
        </w:tc>
        <w:tc>
          <w:tcPr>
            <w:tcW w:w="1239" w:type="pct"/>
            <w:gridSpan w:val="2"/>
          </w:tcPr>
          <w:p w:rsidR="00E32F09" w:rsidRDefault="00E32F09">
            <w:pPr>
              <w:widowControl w:val="0"/>
              <w:spacing w:after="0" w:line="240" w:lineRule="auto"/>
              <w:jc w:val="center"/>
              <w:rPr>
                <w:b/>
                <w:vanish/>
              </w:rPr>
            </w:pPr>
          </w:p>
        </w:tc>
      </w:tr>
      <w:tr w:rsidR="00E32F09">
        <w:trPr>
          <w:gridAfter w:val="1"/>
          <w:wAfter w:w="21" w:type="dxa"/>
          <w:cantSplit/>
        </w:trPr>
        <w:tc>
          <w:tcPr>
            <w:tcW w:w="4823" w:type="dxa"/>
            <w:vAlign w:val="bottom"/>
          </w:tcPr>
          <w:p w:rsidR="00E32F09" w:rsidRDefault="00550C26">
            <w:pPr>
              <w:spacing w:beforeAutospacing="1" w:afterAutospacing="1"/>
            </w:pPr>
            <w:r>
              <w:rPr>
                <w:b/>
                <w:color w:val="000000"/>
              </w:rPr>
              <w:t>Total</w:t>
            </w:r>
          </w:p>
        </w:tc>
        <w:tc>
          <w:tcPr>
            <w:tcW w:w="1568" w:type="dxa"/>
            <w:vAlign w:val="bottom"/>
          </w:tcPr>
          <w:p w:rsidR="00E32F09" w:rsidRDefault="00571503">
            <w:pPr>
              <w:spacing w:beforeAutospacing="1" w:afterAutospacing="1"/>
              <w:jc w:val="right"/>
            </w:pPr>
            <w:r>
              <w:t>3921</w:t>
            </w:r>
          </w:p>
        </w:tc>
      </w:tr>
    </w:tbl>
    <w:p w:rsidR="00E32F09" w:rsidRDefault="00E32F09">
      <w:pPr>
        <w:pStyle w:val="NoSpacing"/>
        <w:rPr>
          <w:vanish/>
        </w:rPr>
      </w:pPr>
    </w:p>
    <w:tbl>
      <w:tblPr>
        <w:tblW w:w="33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3"/>
        <w:gridCol w:w="1528"/>
        <w:gridCol w:w="20"/>
      </w:tblGrid>
      <w:tr w:rsidR="00E32F09">
        <w:trPr>
          <w:cantSplit/>
          <w:hidden/>
        </w:trPr>
        <w:tc>
          <w:tcPr>
            <w:tcW w:w="3761" w:type="pct"/>
          </w:tcPr>
          <w:p w:rsidR="00E32F09" w:rsidRDefault="00E32F09">
            <w:pPr>
              <w:widowControl w:val="0"/>
              <w:spacing w:after="0" w:line="240" w:lineRule="auto"/>
              <w:rPr>
                <w:vanish/>
              </w:rPr>
            </w:pPr>
          </w:p>
        </w:tc>
        <w:tc>
          <w:tcPr>
            <w:tcW w:w="1239" w:type="pct"/>
            <w:gridSpan w:val="2"/>
          </w:tcPr>
          <w:p w:rsidR="00E32F09" w:rsidRDefault="00E32F09">
            <w:pPr>
              <w:widowControl w:val="0"/>
              <w:spacing w:after="0" w:line="240" w:lineRule="auto"/>
              <w:jc w:val="center"/>
              <w:rPr>
                <w:b/>
                <w:vanish/>
              </w:rPr>
            </w:pPr>
          </w:p>
        </w:tc>
      </w:tr>
      <w:tr w:rsidR="00E32F09">
        <w:trPr>
          <w:gridAfter w:val="1"/>
          <w:wAfter w:w="21" w:type="dxa"/>
          <w:cantSplit/>
        </w:trPr>
        <w:tc>
          <w:tcPr>
            <w:tcW w:w="4823" w:type="dxa"/>
            <w:vAlign w:val="bottom"/>
          </w:tcPr>
          <w:p w:rsidR="00E32F09" w:rsidRDefault="00550C26">
            <w:pPr>
              <w:spacing w:beforeAutospacing="1" w:afterAutospacing="1"/>
            </w:pPr>
            <w:r>
              <w:rPr>
                <w:color w:val="000000"/>
              </w:rPr>
              <w:t>Hispanic</w:t>
            </w:r>
          </w:p>
        </w:tc>
        <w:tc>
          <w:tcPr>
            <w:tcW w:w="1568" w:type="dxa"/>
            <w:vAlign w:val="bottom"/>
          </w:tcPr>
          <w:p w:rsidR="00E32F09" w:rsidRDefault="00571503">
            <w:pPr>
              <w:spacing w:beforeAutospacing="1" w:afterAutospacing="1"/>
              <w:jc w:val="right"/>
            </w:pPr>
            <w:r>
              <w:t>47</w:t>
            </w:r>
          </w:p>
        </w:tc>
      </w:tr>
      <w:tr w:rsidR="00E32F09">
        <w:trPr>
          <w:gridAfter w:val="1"/>
          <w:wAfter w:w="21" w:type="dxa"/>
          <w:cantSplit/>
        </w:trPr>
        <w:tc>
          <w:tcPr>
            <w:tcW w:w="4823" w:type="dxa"/>
            <w:vAlign w:val="bottom"/>
          </w:tcPr>
          <w:p w:rsidR="00E32F09" w:rsidRDefault="00550C26">
            <w:pPr>
              <w:spacing w:beforeAutospacing="1" w:afterAutospacing="1"/>
            </w:pPr>
            <w:r>
              <w:rPr>
                <w:color w:val="000000"/>
              </w:rPr>
              <w:t>Not Hispanic</w:t>
            </w:r>
          </w:p>
        </w:tc>
        <w:tc>
          <w:tcPr>
            <w:tcW w:w="1568" w:type="dxa"/>
            <w:vAlign w:val="bottom"/>
          </w:tcPr>
          <w:p w:rsidR="00E32F09" w:rsidRDefault="006707C0">
            <w:pPr>
              <w:spacing w:beforeAutospacing="1" w:afterAutospacing="1"/>
              <w:jc w:val="right"/>
            </w:pPr>
            <w:r>
              <w:t>3874</w:t>
            </w:r>
          </w:p>
        </w:tc>
      </w:tr>
    </w:tbl>
    <w:p w:rsidR="00E32F09" w:rsidRDefault="00E32F09">
      <w:pPr>
        <w:pStyle w:val="NoSpacing"/>
        <w:rPr>
          <w:vanish/>
        </w:rPr>
      </w:pPr>
    </w:p>
    <w:p w:rsidR="00E32F09" w:rsidRDefault="00E32F09">
      <w:pPr>
        <w:pStyle w:val="NoSpacing"/>
        <w:rPr>
          <w:vanish/>
        </w:rPr>
      </w:pPr>
    </w:p>
    <w:p w:rsidR="00E32F09" w:rsidRDefault="00B445B7">
      <w:pPr>
        <w:keepNext/>
        <w:widowControl w:val="0"/>
        <w:ind w:firstLine="720"/>
        <w:rPr>
          <w:b/>
          <w:color w:val="000000" w:themeColor="text1"/>
          <w:sz w:val="20"/>
          <w:szCs w:val="20"/>
        </w:rPr>
      </w:pPr>
      <w:r>
        <w:rPr>
          <w:rFonts w:asciiTheme="minorHAnsi" w:hAnsiTheme="minorHAnsi"/>
          <w:b/>
          <w:sz w:val="20"/>
          <w:szCs w:val="20"/>
        </w:rPr>
        <w:t>T</w:t>
      </w:r>
      <w:r w:rsidR="00550C26">
        <w:rPr>
          <w:rFonts w:asciiTheme="minorHAnsi" w:hAnsiTheme="minorHAnsi"/>
          <w:b/>
          <w:sz w:val="20"/>
          <w:szCs w:val="20"/>
        </w:rPr>
        <w:t xml:space="preserve">able </w:t>
      </w:r>
      <w:r w:rsidR="00550C26">
        <w:rPr>
          <w:rFonts w:asciiTheme="minorHAnsi" w:hAnsiTheme="minorHAnsi"/>
          <w:b/>
          <w:sz w:val="20"/>
          <w:szCs w:val="20"/>
        </w:rPr>
        <w:fldChar w:fldCharType="begin"/>
      </w:r>
      <w:r w:rsidR="00550C26">
        <w:rPr>
          <w:rFonts w:asciiTheme="minorHAnsi" w:hAnsiTheme="minorHAnsi"/>
          <w:b/>
          <w:sz w:val="20"/>
          <w:szCs w:val="20"/>
        </w:rPr>
        <w:instrText xml:space="preserve"> SEQ Table \* ARABIC </w:instrText>
      </w:r>
      <w:r w:rsidR="00550C26">
        <w:rPr>
          <w:rFonts w:asciiTheme="minorHAnsi" w:hAnsiTheme="minorHAnsi"/>
          <w:b/>
          <w:sz w:val="20"/>
          <w:szCs w:val="20"/>
        </w:rPr>
        <w:fldChar w:fldCharType="separate"/>
      </w:r>
      <w:r w:rsidR="00646E5D">
        <w:rPr>
          <w:rFonts w:asciiTheme="minorHAnsi" w:hAnsiTheme="minorHAnsi"/>
          <w:b/>
          <w:noProof/>
          <w:sz w:val="20"/>
          <w:szCs w:val="20"/>
        </w:rPr>
        <w:t>2</w:t>
      </w:r>
      <w:r w:rsidR="00550C26">
        <w:rPr>
          <w:rFonts w:asciiTheme="minorHAnsi" w:hAnsiTheme="minorHAnsi"/>
          <w:b/>
          <w:sz w:val="20"/>
          <w:szCs w:val="20"/>
        </w:rPr>
        <w:fldChar w:fldCharType="end"/>
      </w:r>
      <w:r w:rsidR="00550C26">
        <w:rPr>
          <w:rFonts w:asciiTheme="minorHAnsi" w:hAnsiTheme="minorHAnsi"/>
          <w:b/>
          <w:sz w:val="20"/>
          <w:szCs w:val="20"/>
        </w:rPr>
        <w:t xml:space="preserve"> – Table of assistance to racial and ethnic populations by source of funds</w:t>
      </w:r>
      <w:r w:rsidR="00550C26">
        <w:rPr>
          <w:b/>
          <w:color w:val="000000" w:themeColor="text1"/>
          <w:sz w:val="20"/>
          <w:szCs w:val="20"/>
        </w:rPr>
        <w:t xml:space="preserve"> </w:t>
      </w:r>
    </w:p>
    <w:p w:rsidR="00E32F09" w:rsidRDefault="00E32F09">
      <w:pPr>
        <w:widowControl w:val="0"/>
        <w:rPr>
          <w:b/>
          <w:sz w:val="24"/>
          <w:szCs w:val="24"/>
        </w:rPr>
      </w:pPr>
    </w:p>
    <w:p w:rsidR="00E32F09" w:rsidRDefault="00550C26">
      <w:pPr>
        <w:widowControl w:val="0"/>
        <w:rPr>
          <w:b/>
          <w:sz w:val="24"/>
          <w:szCs w:val="24"/>
        </w:rPr>
      </w:pPr>
      <w:r>
        <w:rPr>
          <w:b/>
          <w:sz w:val="24"/>
          <w:szCs w:val="24"/>
        </w:rPr>
        <w:t>Narrative</w:t>
      </w:r>
    </w:p>
    <w:p w:rsidR="00E32F09" w:rsidRDefault="00E32F09">
      <w:pPr>
        <w:widowControl w:val="0"/>
      </w:pPr>
    </w:p>
    <w:p w:rsidR="00E32F09" w:rsidRDefault="00E32F09">
      <w:pPr>
        <w:widowControl w:val="0"/>
      </w:pPr>
    </w:p>
    <w:p w:rsidR="00E32F09" w:rsidRDefault="00E32F09">
      <w:pPr>
        <w:sectPr w:rsidR="00E32F09" w:rsidSect="00493F19">
          <w:pgSz w:w="12240" w:h="15840" w:code="1"/>
          <w:pgMar w:top="1440" w:right="1440" w:bottom="1440" w:left="1440" w:header="720" w:footer="720"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docGrid w:linePitch="360"/>
        </w:sectPr>
      </w:pPr>
    </w:p>
    <w:bookmarkEnd w:id="0"/>
    <w:p w:rsidR="00E32F09" w:rsidRDefault="00550C26">
      <w:pPr>
        <w:pStyle w:val="Heading2"/>
        <w:rPr>
          <w:rFonts w:ascii="Calibri" w:hAnsi="Calibri"/>
          <w:i w:val="0"/>
        </w:rPr>
      </w:pPr>
      <w:r>
        <w:rPr>
          <w:rFonts w:ascii="Calibri" w:hAnsi="Calibri"/>
          <w:i w:val="0"/>
        </w:rPr>
        <w:t>CR-15 - Resources and Investments 91.520(a)</w:t>
      </w:r>
    </w:p>
    <w:p w:rsidR="00E32F09" w:rsidRDefault="00550C26">
      <w:pPr>
        <w:keepNext/>
        <w:widowControl w:val="0"/>
        <w:spacing w:after="0" w:line="240" w:lineRule="auto"/>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329"/>
        <w:gridCol w:w="2338"/>
        <w:gridCol w:w="2354"/>
      </w:tblGrid>
      <w:tr w:rsidR="00E32F09" w:rsidTr="004C1F49">
        <w:trPr>
          <w:cantSplit/>
        </w:trPr>
        <w:tc>
          <w:tcPr>
            <w:tcW w:w="2329" w:type="dxa"/>
          </w:tcPr>
          <w:p w:rsidR="00E32F09" w:rsidRDefault="00550C26">
            <w:pPr>
              <w:keepNext/>
              <w:widowControl w:val="0"/>
              <w:spacing w:after="0" w:line="240" w:lineRule="auto"/>
              <w:jc w:val="center"/>
              <w:rPr>
                <w:rFonts w:cs="Arial"/>
                <w:b/>
              </w:rPr>
            </w:pPr>
            <w:r>
              <w:rPr>
                <w:rFonts w:cs="Arial"/>
                <w:b/>
              </w:rPr>
              <w:t>Source of Funds</w:t>
            </w:r>
          </w:p>
        </w:tc>
        <w:tc>
          <w:tcPr>
            <w:tcW w:w="2329" w:type="dxa"/>
          </w:tcPr>
          <w:p w:rsidR="00E32F09" w:rsidRDefault="00550C26">
            <w:pPr>
              <w:keepNext/>
              <w:widowControl w:val="0"/>
              <w:spacing w:after="0" w:line="240" w:lineRule="auto"/>
              <w:jc w:val="center"/>
              <w:rPr>
                <w:rFonts w:cs="Arial"/>
                <w:b/>
              </w:rPr>
            </w:pPr>
            <w:r>
              <w:rPr>
                <w:rFonts w:cs="Arial"/>
                <w:b/>
              </w:rPr>
              <w:t>Source</w:t>
            </w:r>
          </w:p>
        </w:tc>
        <w:tc>
          <w:tcPr>
            <w:tcW w:w="2338" w:type="dxa"/>
          </w:tcPr>
          <w:p w:rsidR="00E32F09" w:rsidRDefault="00550C26">
            <w:pPr>
              <w:keepNext/>
              <w:spacing w:after="0" w:line="240" w:lineRule="auto"/>
              <w:jc w:val="center"/>
              <w:rPr>
                <w:rFonts w:cs="Arial"/>
                <w:b/>
              </w:rPr>
            </w:pPr>
            <w:r>
              <w:rPr>
                <w:rFonts w:cs="Arial"/>
                <w:b/>
              </w:rPr>
              <w:t>Resources Made Available</w:t>
            </w:r>
          </w:p>
        </w:tc>
        <w:tc>
          <w:tcPr>
            <w:tcW w:w="2354" w:type="dxa"/>
          </w:tcPr>
          <w:p w:rsidR="00E32F09" w:rsidRDefault="00550C26">
            <w:pPr>
              <w:keepNext/>
              <w:widowControl w:val="0"/>
              <w:spacing w:after="0" w:line="240" w:lineRule="auto"/>
              <w:jc w:val="center"/>
              <w:rPr>
                <w:rFonts w:cs="Arial"/>
                <w:b/>
              </w:rPr>
            </w:pPr>
            <w:r>
              <w:rPr>
                <w:rFonts w:cs="Arial"/>
                <w:b/>
              </w:rPr>
              <w:t>Amount Expended During Program Year</w:t>
            </w:r>
          </w:p>
        </w:tc>
      </w:tr>
      <w:tr w:rsidR="00E32F09" w:rsidTr="004C1F49">
        <w:trPr>
          <w:cantSplit/>
        </w:trPr>
        <w:tc>
          <w:tcPr>
            <w:tcW w:w="2329" w:type="dxa"/>
            <w:vAlign w:val="bottom"/>
          </w:tcPr>
          <w:p w:rsidR="00E32F09" w:rsidRPr="00F33274" w:rsidRDefault="00550C26">
            <w:pPr>
              <w:spacing w:beforeAutospacing="1" w:afterAutospacing="1"/>
            </w:pPr>
            <w:r w:rsidRPr="00F33274">
              <w:rPr>
                <w:color w:val="000000"/>
              </w:rPr>
              <w:t>CDBG</w:t>
            </w:r>
          </w:p>
        </w:tc>
        <w:tc>
          <w:tcPr>
            <w:tcW w:w="2329" w:type="dxa"/>
            <w:vAlign w:val="bottom"/>
          </w:tcPr>
          <w:p w:rsidR="00E32F09" w:rsidRPr="00F33274" w:rsidRDefault="00550C26">
            <w:pPr>
              <w:spacing w:beforeAutospacing="1" w:afterAutospacing="1"/>
            </w:pPr>
            <w:r w:rsidRPr="00F33274">
              <w:rPr>
                <w:color w:val="000000"/>
              </w:rPr>
              <w:t>CDBG</w:t>
            </w:r>
          </w:p>
        </w:tc>
        <w:tc>
          <w:tcPr>
            <w:tcW w:w="2338" w:type="dxa"/>
            <w:vAlign w:val="bottom"/>
          </w:tcPr>
          <w:p w:rsidR="00E32F09" w:rsidRDefault="004C1F49">
            <w:pPr>
              <w:spacing w:beforeAutospacing="1" w:afterAutospacing="1"/>
              <w:jc w:val="right"/>
            </w:pPr>
            <w:r>
              <w:rPr>
                <w:rFonts w:ascii="Verdana" w:hAnsi="Verdana"/>
                <w:color w:val="000033"/>
                <w:sz w:val="19"/>
                <w:szCs w:val="19"/>
                <w:shd w:val="clear" w:color="auto" w:fill="FFFFFF"/>
              </w:rPr>
              <w:t>$1,269,292.00</w:t>
            </w:r>
          </w:p>
        </w:tc>
        <w:tc>
          <w:tcPr>
            <w:tcW w:w="2354" w:type="dxa"/>
            <w:vAlign w:val="bottom"/>
          </w:tcPr>
          <w:p w:rsidR="00E32F09" w:rsidRDefault="004F1B30">
            <w:pPr>
              <w:spacing w:beforeAutospacing="1" w:afterAutospacing="1"/>
              <w:jc w:val="right"/>
            </w:pPr>
            <w:r>
              <w:t>$</w:t>
            </w:r>
            <w:r w:rsidRPr="004F1B30">
              <w:t>1,955,137.18</w:t>
            </w:r>
          </w:p>
        </w:tc>
      </w:tr>
      <w:tr w:rsidR="00E32F09">
        <w:trPr>
          <w:cantSplit/>
        </w:trPr>
        <w:tc>
          <w:tcPr>
            <w:tcW w:w="0" w:type="auto"/>
            <w:vAlign w:val="bottom"/>
          </w:tcPr>
          <w:p w:rsidR="00E32F09" w:rsidRPr="004F1B30" w:rsidRDefault="00550C26">
            <w:pPr>
              <w:spacing w:beforeAutospacing="1" w:afterAutospacing="1"/>
            </w:pPr>
            <w:r w:rsidRPr="004F1B30">
              <w:rPr>
                <w:color w:val="000000"/>
              </w:rPr>
              <w:t>HOME</w:t>
            </w:r>
          </w:p>
        </w:tc>
        <w:tc>
          <w:tcPr>
            <w:tcW w:w="0" w:type="auto"/>
            <w:vAlign w:val="bottom"/>
          </w:tcPr>
          <w:p w:rsidR="00E32F09" w:rsidRPr="004F1B30" w:rsidRDefault="00550C26">
            <w:pPr>
              <w:spacing w:beforeAutospacing="1" w:afterAutospacing="1"/>
            </w:pPr>
            <w:r w:rsidRPr="004F1B30">
              <w:rPr>
                <w:color w:val="000000"/>
              </w:rPr>
              <w:t>HOME</w:t>
            </w:r>
          </w:p>
        </w:tc>
        <w:tc>
          <w:tcPr>
            <w:tcW w:w="0" w:type="auto"/>
            <w:vAlign w:val="bottom"/>
          </w:tcPr>
          <w:p w:rsidR="00E32F09" w:rsidRDefault="00550C26">
            <w:pPr>
              <w:spacing w:beforeAutospacing="1" w:afterAutospacing="1"/>
              <w:jc w:val="right"/>
            </w:pPr>
            <w:r>
              <w:rPr>
                <w:color w:val="000000"/>
              </w:rPr>
              <w:t xml:space="preserve"> </w:t>
            </w:r>
          </w:p>
        </w:tc>
        <w:tc>
          <w:tcPr>
            <w:tcW w:w="0" w:type="auto"/>
            <w:vAlign w:val="bottom"/>
          </w:tcPr>
          <w:p w:rsidR="00E32F09" w:rsidRDefault="004F1B30">
            <w:pPr>
              <w:spacing w:beforeAutospacing="1" w:afterAutospacing="1"/>
              <w:jc w:val="right"/>
            </w:pPr>
            <w:r>
              <w:rPr>
                <w:color w:val="000000"/>
              </w:rPr>
              <w:t>0</w:t>
            </w:r>
            <w:r w:rsidR="00550C26">
              <w:rPr>
                <w:color w:val="000000"/>
              </w:rPr>
              <w:t xml:space="preserve"> </w:t>
            </w:r>
          </w:p>
        </w:tc>
      </w:tr>
      <w:tr w:rsidR="00E32F09">
        <w:trPr>
          <w:cantSplit/>
        </w:trPr>
        <w:tc>
          <w:tcPr>
            <w:tcW w:w="0" w:type="auto"/>
            <w:vAlign w:val="bottom"/>
          </w:tcPr>
          <w:p w:rsidR="00E32F09" w:rsidRPr="004F1B30" w:rsidRDefault="00550C26">
            <w:pPr>
              <w:spacing w:beforeAutospacing="1" w:afterAutospacing="1"/>
            </w:pPr>
            <w:r w:rsidRPr="004F1B30">
              <w:rPr>
                <w:color w:val="000000"/>
              </w:rPr>
              <w:t>HOPWA</w:t>
            </w:r>
          </w:p>
        </w:tc>
        <w:tc>
          <w:tcPr>
            <w:tcW w:w="0" w:type="auto"/>
            <w:vAlign w:val="bottom"/>
          </w:tcPr>
          <w:p w:rsidR="00E32F09" w:rsidRPr="004F1B30" w:rsidRDefault="00550C26">
            <w:pPr>
              <w:spacing w:beforeAutospacing="1" w:afterAutospacing="1"/>
            </w:pPr>
            <w:r w:rsidRPr="004F1B30">
              <w:rPr>
                <w:color w:val="000000"/>
              </w:rPr>
              <w:t>HOPWA</w:t>
            </w:r>
          </w:p>
        </w:tc>
        <w:tc>
          <w:tcPr>
            <w:tcW w:w="0" w:type="auto"/>
            <w:vAlign w:val="bottom"/>
          </w:tcPr>
          <w:p w:rsidR="00E32F09" w:rsidRDefault="00550C26">
            <w:pPr>
              <w:spacing w:beforeAutospacing="1" w:afterAutospacing="1"/>
              <w:jc w:val="right"/>
            </w:pPr>
            <w:r>
              <w:rPr>
                <w:color w:val="000000"/>
              </w:rPr>
              <w:t xml:space="preserve"> </w:t>
            </w:r>
          </w:p>
        </w:tc>
        <w:tc>
          <w:tcPr>
            <w:tcW w:w="0" w:type="auto"/>
            <w:vAlign w:val="bottom"/>
          </w:tcPr>
          <w:p w:rsidR="00E32F09" w:rsidRDefault="004F1B30">
            <w:pPr>
              <w:spacing w:beforeAutospacing="1" w:afterAutospacing="1"/>
              <w:jc w:val="right"/>
            </w:pPr>
            <w:r>
              <w:rPr>
                <w:color w:val="000000"/>
              </w:rPr>
              <w:t>0</w:t>
            </w:r>
            <w:r w:rsidR="00550C26">
              <w:rPr>
                <w:color w:val="000000"/>
              </w:rPr>
              <w:t xml:space="preserve"> </w:t>
            </w:r>
          </w:p>
        </w:tc>
      </w:tr>
      <w:tr w:rsidR="00E32F09">
        <w:trPr>
          <w:cantSplit/>
        </w:trPr>
        <w:tc>
          <w:tcPr>
            <w:tcW w:w="0" w:type="auto"/>
            <w:vAlign w:val="bottom"/>
          </w:tcPr>
          <w:p w:rsidR="00E32F09" w:rsidRPr="004F1B30" w:rsidRDefault="00550C26">
            <w:pPr>
              <w:spacing w:beforeAutospacing="1" w:afterAutospacing="1"/>
            </w:pPr>
            <w:r w:rsidRPr="004F1B30">
              <w:rPr>
                <w:color w:val="000000"/>
              </w:rPr>
              <w:t>ESG</w:t>
            </w:r>
          </w:p>
        </w:tc>
        <w:tc>
          <w:tcPr>
            <w:tcW w:w="0" w:type="auto"/>
            <w:vAlign w:val="bottom"/>
          </w:tcPr>
          <w:p w:rsidR="00E32F09" w:rsidRPr="004F1B30" w:rsidRDefault="00550C26">
            <w:pPr>
              <w:spacing w:beforeAutospacing="1" w:afterAutospacing="1"/>
            </w:pPr>
            <w:r w:rsidRPr="004F1B30">
              <w:rPr>
                <w:color w:val="000000"/>
              </w:rPr>
              <w:t>ESG</w:t>
            </w:r>
          </w:p>
        </w:tc>
        <w:tc>
          <w:tcPr>
            <w:tcW w:w="0" w:type="auto"/>
            <w:vAlign w:val="bottom"/>
          </w:tcPr>
          <w:p w:rsidR="00E32F09" w:rsidRDefault="00550C26">
            <w:pPr>
              <w:spacing w:beforeAutospacing="1" w:afterAutospacing="1"/>
              <w:jc w:val="right"/>
            </w:pPr>
            <w:r>
              <w:rPr>
                <w:color w:val="000000"/>
              </w:rPr>
              <w:t xml:space="preserve"> </w:t>
            </w:r>
          </w:p>
        </w:tc>
        <w:tc>
          <w:tcPr>
            <w:tcW w:w="0" w:type="auto"/>
            <w:vAlign w:val="bottom"/>
          </w:tcPr>
          <w:p w:rsidR="00E32F09" w:rsidRDefault="004F1B30">
            <w:pPr>
              <w:spacing w:beforeAutospacing="1" w:afterAutospacing="1"/>
              <w:jc w:val="right"/>
            </w:pPr>
            <w:r>
              <w:rPr>
                <w:color w:val="000000"/>
              </w:rPr>
              <w:t>0</w:t>
            </w:r>
            <w:r w:rsidR="00550C26">
              <w:rPr>
                <w:color w:val="000000"/>
              </w:rPr>
              <w:t xml:space="preserve"> </w:t>
            </w:r>
          </w:p>
        </w:tc>
      </w:tr>
      <w:tr w:rsidR="00E32F09">
        <w:trPr>
          <w:cantSplit/>
        </w:trPr>
        <w:tc>
          <w:tcPr>
            <w:tcW w:w="0" w:type="auto"/>
            <w:vAlign w:val="bottom"/>
          </w:tcPr>
          <w:p w:rsidR="00E32F09" w:rsidRPr="00F33274" w:rsidRDefault="00550C26">
            <w:pPr>
              <w:spacing w:beforeAutospacing="1" w:afterAutospacing="1"/>
            </w:pPr>
            <w:r w:rsidRPr="00F33274">
              <w:rPr>
                <w:color w:val="000000"/>
              </w:rPr>
              <w:t>Section 8</w:t>
            </w:r>
          </w:p>
        </w:tc>
        <w:tc>
          <w:tcPr>
            <w:tcW w:w="0" w:type="auto"/>
            <w:vAlign w:val="bottom"/>
          </w:tcPr>
          <w:p w:rsidR="00E32F09" w:rsidRPr="00F33274" w:rsidRDefault="00550C26">
            <w:pPr>
              <w:spacing w:beforeAutospacing="1" w:afterAutospacing="1"/>
            </w:pPr>
            <w:r w:rsidRPr="00F33274">
              <w:rPr>
                <w:color w:val="000000"/>
              </w:rPr>
              <w:t>Section 8</w:t>
            </w:r>
          </w:p>
        </w:tc>
        <w:tc>
          <w:tcPr>
            <w:tcW w:w="0" w:type="auto"/>
            <w:vAlign w:val="bottom"/>
          </w:tcPr>
          <w:p w:rsidR="00E32F09" w:rsidRDefault="00F33274">
            <w:pPr>
              <w:spacing w:beforeAutospacing="1" w:afterAutospacing="1"/>
              <w:jc w:val="right"/>
            </w:pPr>
            <w:r>
              <w:t>$1,272,339.00</w:t>
            </w:r>
          </w:p>
        </w:tc>
        <w:tc>
          <w:tcPr>
            <w:tcW w:w="0" w:type="auto"/>
            <w:vAlign w:val="bottom"/>
          </w:tcPr>
          <w:p w:rsidR="00E32F09" w:rsidRDefault="00583F9E">
            <w:pPr>
              <w:spacing w:beforeAutospacing="1" w:afterAutospacing="1"/>
              <w:jc w:val="right"/>
            </w:pPr>
            <w:r w:rsidRPr="00583F9E">
              <w:t>$1,289,337</w:t>
            </w:r>
          </w:p>
        </w:tc>
      </w:tr>
      <w:tr w:rsidR="00E32F09" w:rsidTr="004C1F49">
        <w:trPr>
          <w:cantSplit/>
        </w:trPr>
        <w:tc>
          <w:tcPr>
            <w:tcW w:w="2329" w:type="dxa"/>
            <w:vAlign w:val="bottom"/>
          </w:tcPr>
          <w:p w:rsidR="00E32F09" w:rsidRPr="00F33274" w:rsidRDefault="004F1B30">
            <w:pPr>
              <w:spacing w:beforeAutospacing="1" w:afterAutospacing="1"/>
            </w:pPr>
            <w:r w:rsidRPr="00F33274">
              <w:rPr>
                <w:color w:val="000000"/>
              </w:rPr>
              <w:t>CDBG-CV</w:t>
            </w:r>
          </w:p>
        </w:tc>
        <w:tc>
          <w:tcPr>
            <w:tcW w:w="2329" w:type="dxa"/>
            <w:vAlign w:val="bottom"/>
          </w:tcPr>
          <w:p w:rsidR="00E32F09" w:rsidRPr="00F33274" w:rsidRDefault="004F1B30">
            <w:pPr>
              <w:spacing w:beforeAutospacing="1" w:afterAutospacing="1"/>
            </w:pPr>
            <w:r w:rsidRPr="00F33274">
              <w:rPr>
                <w:color w:val="000000"/>
              </w:rPr>
              <w:t>CDBG-CV</w:t>
            </w:r>
          </w:p>
        </w:tc>
        <w:tc>
          <w:tcPr>
            <w:tcW w:w="2338" w:type="dxa"/>
            <w:vAlign w:val="bottom"/>
          </w:tcPr>
          <w:p w:rsidR="00E32F09" w:rsidRDefault="004C1F49">
            <w:pPr>
              <w:spacing w:beforeAutospacing="1" w:afterAutospacing="1"/>
              <w:jc w:val="right"/>
            </w:pPr>
            <w:r>
              <w:rPr>
                <w:rFonts w:ascii="Verdana" w:hAnsi="Verdana"/>
                <w:color w:val="000033"/>
                <w:sz w:val="19"/>
                <w:szCs w:val="19"/>
                <w:shd w:val="clear" w:color="auto" w:fill="FFFFFF"/>
              </w:rPr>
              <w:t>$1,231,157.00</w:t>
            </w:r>
          </w:p>
        </w:tc>
        <w:tc>
          <w:tcPr>
            <w:tcW w:w="2354" w:type="dxa"/>
            <w:vAlign w:val="bottom"/>
          </w:tcPr>
          <w:p w:rsidR="00E32F09" w:rsidRPr="004F1B30" w:rsidRDefault="004C1F49" w:rsidP="004F1B30">
            <w:pPr>
              <w:spacing w:after="0" w:line="240" w:lineRule="auto"/>
              <w:jc w:val="right"/>
              <w:rPr>
                <w:rFonts w:ascii="Arial" w:hAnsi="Arial" w:cs="Arial"/>
                <w:color w:val="000000"/>
                <w:sz w:val="20"/>
                <w:szCs w:val="20"/>
              </w:rPr>
            </w:pPr>
            <w:r>
              <w:rPr>
                <w:rFonts w:ascii="Arial" w:hAnsi="Arial" w:cs="Arial"/>
                <w:color w:val="000000"/>
                <w:sz w:val="20"/>
                <w:szCs w:val="20"/>
              </w:rPr>
              <w:t>$</w:t>
            </w:r>
            <w:r w:rsidR="004F1B30" w:rsidRPr="004C1F49">
              <w:rPr>
                <w:rFonts w:ascii="Verdana" w:hAnsi="Verdana" w:cs="Arial"/>
                <w:color w:val="000000"/>
                <w:sz w:val="18"/>
                <w:szCs w:val="18"/>
              </w:rPr>
              <w:t>319484.57</w:t>
            </w:r>
            <w:r>
              <w:rPr>
                <w:rFonts w:ascii="Arial" w:hAnsi="Arial" w:cs="Arial"/>
                <w:color w:val="000000"/>
                <w:sz w:val="20"/>
                <w:szCs w:val="20"/>
              </w:rPr>
              <w:t xml:space="preserve"> CDBG-CV </w:t>
            </w:r>
          </w:p>
        </w:tc>
      </w:tr>
    </w:tbl>
    <w:p w:rsidR="00E32F09" w:rsidRDefault="00550C2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46E5D">
        <w:rPr>
          <w:rFonts w:asciiTheme="minorHAnsi" w:hAnsiTheme="minorHAnsi"/>
          <w:noProof/>
        </w:rPr>
        <w:t>3</w:t>
      </w:r>
      <w:r>
        <w:rPr>
          <w:rFonts w:asciiTheme="minorHAnsi" w:hAnsiTheme="minorHAnsi"/>
        </w:rPr>
        <w:fldChar w:fldCharType="end"/>
      </w:r>
      <w:r>
        <w:rPr>
          <w:rFonts w:asciiTheme="minorHAnsi" w:hAnsiTheme="minorHAnsi"/>
        </w:rPr>
        <w:t xml:space="preserve"> - Resources Made Available</w:t>
      </w:r>
    </w:p>
    <w:p w:rsidR="00E32F09" w:rsidRDefault="00E32F09">
      <w:pPr>
        <w:spacing w:after="0" w:line="240" w:lineRule="auto"/>
        <w:rPr>
          <w:b/>
          <w:sz w:val="24"/>
          <w:szCs w:val="24"/>
        </w:rPr>
      </w:pPr>
    </w:p>
    <w:p w:rsidR="00E32F09" w:rsidRDefault="00550C26">
      <w:pPr>
        <w:spacing w:after="0" w:line="240" w:lineRule="auto"/>
        <w:rPr>
          <w:b/>
          <w:sz w:val="24"/>
          <w:szCs w:val="24"/>
        </w:rPr>
      </w:pPr>
      <w:r>
        <w:rPr>
          <w:b/>
          <w:sz w:val="24"/>
          <w:szCs w:val="24"/>
        </w:rPr>
        <w:t>Narrative</w:t>
      </w:r>
    </w:p>
    <w:p w:rsidR="00E32F09" w:rsidRDefault="00550C26">
      <w:pPr>
        <w:spacing w:beforeAutospacing="1" w:afterAutospacing="1"/>
        <w:rPr>
          <w:rFonts w:cs="Arial"/>
        </w:rPr>
      </w:pPr>
      <w:r>
        <w:rPr>
          <w:rFonts w:cs="Arial"/>
        </w:rPr>
        <w:t>The primary financial resources available during the pr</w:t>
      </w:r>
      <w:r w:rsidR="004836FA">
        <w:rPr>
          <w:rFonts w:cs="Arial"/>
        </w:rPr>
        <w:t>ogram year included the FFY 2021</w:t>
      </w:r>
      <w:r>
        <w:rPr>
          <w:rFonts w:cs="Arial"/>
        </w:rPr>
        <w:t xml:space="preserve"> CDBG annual grant, remaining prior year CDBG funds, Housing Choice Vouch</w:t>
      </w:r>
      <w:r w:rsidR="004836FA">
        <w:rPr>
          <w:rFonts w:cs="Arial"/>
        </w:rPr>
        <w:t>er funds, 2019 CDBG-CV funding</w:t>
      </w:r>
      <w:r>
        <w:rPr>
          <w:rFonts w:cs="Arial"/>
        </w:rPr>
        <w:t>.</w:t>
      </w:r>
    </w:p>
    <w:p w:rsidR="00E32F09" w:rsidRDefault="00550C26">
      <w:pPr>
        <w:spacing w:beforeAutospacing="1" w:afterAutospacing="1"/>
        <w:rPr>
          <w:rFonts w:cs="Arial"/>
        </w:rPr>
      </w:pPr>
      <w:r>
        <w:rPr>
          <w:rFonts w:cs="Arial"/>
        </w:rPr>
        <w:t>The figure shown as expended for the Secti</w:t>
      </w:r>
      <w:r w:rsidR="00E01FFE">
        <w:rPr>
          <w:rFonts w:cs="Arial"/>
        </w:rPr>
        <w:t xml:space="preserve">on 8 program includes </w:t>
      </w:r>
      <w:r w:rsidR="00E01FFE" w:rsidRPr="00E01FFE">
        <w:rPr>
          <w:rFonts w:cs="Arial"/>
        </w:rPr>
        <w:t xml:space="preserve">$1,086,710 </w:t>
      </w:r>
      <w:r>
        <w:rPr>
          <w:rFonts w:cs="Arial"/>
        </w:rPr>
        <w:t xml:space="preserve">in Housing </w:t>
      </w:r>
      <w:r w:rsidR="00AF0987">
        <w:rPr>
          <w:rFonts w:cs="Arial"/>
        </w:rPr>
        <w:t>Assistance</w:t>
      </w:r>
      <w:r w:rsidR="00E01FFE">
        <w:rPr>
          <w:rFonts w:cs="Arial"/>
        </w:rPr>
        <w:t xml:space="preserve"> payments and </w:t>
      </w:r>
      <w:r w:rsidR="00E01FFE" w:rsidRPr="00E01FFE">
        <w:rPr>
          <w:rFonts w:cs="Arial"/>
        </w:rPr>
        <w:t>$</w:t>
      </w:r>
      <w:proofErr w:type="gramStart"/>
      <w:r w:rsidR="00E01FFE" w:rsidRPr="00E01FFE">
        <w:rPr>
          <w:rFonts w:cs="Arial"/>
        </w:rPr>
        <w:t xml:space="preserve">202,627 </w:t>
      </w:r>
      <w:r>
        <w:rPr>
          <w:rFonts w:cs="Arial"/>
        </w:rPr>
        <w:t xml:space="preserve"> in</w:t>
      </w:r>
      <w:proofErr w:type="gramEnd"/>
      <w:r>
        <w:rPr>
          <w:rFonts w:cs="Arial"/>
        </w:rPr>
        <w:t xml:space="preserve"> administrative e</w:t>
      </w:r>
      <w:r w:rsidR="004836FA">
        <w:rPr>
          <w:rFonts w:cs="Arial"/>
        </w:rPr>
        <w:t xml:space="preserve">xpenses for the period 1/1/2022 through </w:t>
      </w:r>
      <w:r w:rsidR="00E01FFE">
        <w:rPr>
          <w:rFonts w:cs="Arial"/>
        </w:rPr>
        <w:t>10/31</w:t>
      </w:r>
      <w:r w:rsidR="004836FA">
        <w:rPr>
          <w:rFonts w:cs="Arial"/>
        </w:rPr>
        <w:t>/2022</w:t>
      </w:r>
      <w:r>
        <w:rPr>
          <w:rFonts w:cs="Arial"/>
        </w:rPr>
        <w:t>.</w:t>
      </w:r>
    </w:p>
    <w:p w:rsidR="00E32F09" w:rsidRDefault="00550C26">
      <w:pPr>
        <w:spacing w:beforeAutospacing="1" w:afterAutospacing="1"/>
        <w:rPr>
          <w:rFonts w:cs="Arial"/>
        </w:rPr>
      </w:pPr>
      <w:r>
        <w:rPr>
          <w:rFonts w:cs="Arial"/>
        </w:rPr>
        <w:t>The figure shown as "Other" represents expenses</w:t>
      </w:r>
      <w:r w:rsidR="004836FA">
        <w:rPr>
          <w:rFonts w:cs="Arial"/>
        </w:rPr>
        <w:t xml:space="preserve"> paid through the town's CDBG-CV grant for the period 10/1/19 through 11/30/22</w:t>
      </w:r>
      <w:r>
        <w:rPr>
          <w:rFonts w:cs="Arial"/>
        </w:rPr>
        <w:t>.</w:t>
      </w:r>
    </w:p>
    <w:p w:rsidR="00E32F09" w:rsidRDefault="00E32F09">
      <w:pPr>
        <w:spacing w:after="0" w:line="240" w:lineRule="auto"/>
        <w:rPr>
          <w:b/>
          <w:sz w:val="24"/>
          <w:szCs w:val="24"/>
        </w:rPr>
      </w:pPr>
    </w:p>
    <w:p w:rsidR="00E32F09" w:rsidRDefault="00550C26">
      <w:pPr>
        <w:keepNext/>
        <w:spacing w:after="0" w:line="240" w:lineRule="auto"/>
        <w:rPr>
          <w:b/>
          <w:sz w:val="24"/>
          <w:szCs w:val="24"/>
        </w:rPr>
      </w:pPr>
      <w:r>
        <w:rPr>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1670"/>
        <w:gridCol w:w="1670"/>
        <w:gridCol w:w="3043"/>
      </w:tblGrid>
      <w:tr w:rsidR="00E32F09">
        <w:trPr>
          <w:cantSplit/>
        </w:trPr>
        <w:tc>
          <w:tcPr>
            <w:tcW w:w="2394" w:type="dxa"/>
          </w:tcPr>
          <w:p w:rsidR="00E32F09" w:rsidRDefault="00550C26">
            <w:pPr>
              <w:keepNext/>
              <w:widowControl w:val="0"/>
              <w:spacing w:after="0" w:line="240" w:lineRule="auto"/>
              <w:jc w:val="center"/>
              <w:rPr>
                <w:rFonts w:cs="Arial"/>
                <w:b/>
              </w:rPr>
            </w:pPr>
            <w:r>
              <w:rPr>
                <w:rFonts w:cs="Arial"/>
                <w:b/>
              </w:rPr>
              <w:t>Target Area</w:t>
            </w:r>
          </w:p>
        </w:tc>
        <w:tc>
          <w:tcPr>
            <w:tcW w:w="2394" w:type="dxa"/>
          </w:tcPr>
          <w:p w:rsidR="00E32F09" w:rsidRDefault="00550C26">
            <w:pPr>
              <w:keepNext/>
              <w:widowControl w:val="0"/>
              <w:spacing w:after="0" w:line="240" w:lineRule="auto"/>
              <w:jc w:val="center"/>
              <w:rPr>
                <w:rFonts w:cs="Arial"/>
                <w:b/>
              </w:rPr>
            </w:pPr>
            <w:r>
              <w:rPr>
                <w:rFonts w:cs="Arial"/>
                <w:b/>
              </w:rPr>
              <w:t>Planned Percentage of Allocation</w:t>
            </w:r>
          </w:p>
        </w:tc>
        <w:tc>
          <w:tcPr>
            <w:tcW w:w="2394" w:type="dxa"/>
          </w:tcPr>
          <w:p w:rsidR="00E32F09" w:rsidRDefault="00550C26">
            <w:pPr>
              <w:keepNext/>
              <w:spacing w:after="0" w:line="240" w:lineRule="auto"/>
              <w:jc w:val="center"/>
              <w:rPr>
                <w:rFonts w:cs="Arial"/>
                <w:b/>
              </w:rPr>
            </w:pPr>
            <w:r>
              <w:rPr>
                <w:rFonts w:cs="Arial"/>
                <w:b/>
              </w:rPr>
              <w:t>Actual Percentage of Allocation</w:t>
            </w:r>
          </w:p>
        </w:tc>
        <w:tc>
          <w:tcPr>
            <w:tcW w:w="2394" w:type="dxa"/>
          </w:tcPr>
          <w:p w:rsidR="00E32F09" w:rsidRDefault="00550C26">
            <w:pPr>
              <w:keepNext/>
              <w:widowControl w:val="0"/>
              <w:spacing w:after="0" w:line="240" w:lineRule="auto"/>
              <w:jc w:val="center"/>
              <w:rPr>
                <w:rFonts w:cs="Arial"/>
                <w:b/>
              </w:rPr>
            </w:pPr>
            <w:r>
              <w:rPr>
                <w:rFonts w:cs="Arial"/>
                <w:b/>
              </w:rPr>
              <w:t>Narrative Description</w:t>
            </w:r>
          </w:p>
        </w:tc>
      </w:tr>
      <w:tr w:rsidR="00E32F09">
        <w:trPr>
          <w:cantSplit/>
        </w:trPr>
        <w:tc>
          <w:tcPr>
            <w:tcW w:w="0" w:type="auto"/>
            <w:vAlign w:val="bottom"/>
          </w:tcPr>
          <w:p w:rsidR="00E32F09" w:rsidRDefault="00550C26">
            <w:pPr>
              <w:spacing w:beforeAutospacing="1" w:afterAutospacing="1"/>
            </w:pPr>
            <w:r>
              <w:rPr>
                <w:color w:val="000000"/>
              </w:rPr>
              <w:t xml:space="preserve">CDBG eligible Low/Mod </w:t>
            </w:r>
            <w:r w:rsidR="00AF0987">
              <w:rPr>
                <w:color w:val="000000"/>
              </w:rPr>
              <w:t>Census Tract</w:t>
            </w:r>
            <w:r>
              <w:rPr>
                <w:color w:val="000000"/>
              </w:rPr>
              <w:t xml:space="preserve"> Block Group or Service Area</w:t>
            </w:r>
          </w:p>
        </w:tc>
        <w:tc>
          <w:tcPr>
            <w:tcW w:w="0" w:type="auto"/>
            <w:vAlign w:val="bottom"/>
          </w:tcPr>
          <w:p w:rsidR="00E32F09" w:rsidRDefault="00550C26">
            <w:pPr>
              <w:spacing w:beforeAutospacing="1" w:afterAutospacing="1"/>
            </w:pPr>
            <w:r>
              <w:rPr>
                <w:color w:val="000000"/>
              </w:rPr>
              <w:t>50</w:t>
            </w:r>
          </w:p>
        </w:tc>
        <w:tc>
          <w:tcPr>
            <w:tcW w:w="0" w:type="auto"/>
            <w:vAlign w:val="bottom"/>
          </w:tcPr>
          <w:p w:rsidR="00E32F09" w:rsidRDefault="00550C26">
            <w:pPr>
              <w:spacing w:beforeAutospacing="1" w:afterAutospacing="1"/>
            </w:pPr>
            <w:r>
              <w:rPr>
                <w:color w:val="000000"/>
              </w:rPr>
              <w:t xml:space="preserve"> </w:t>
            </w:r>
          </w:p>
        </w:tc>
        <w:tc>
          <w:tcPr>
            <w:tcW w:w="0" w:type="auto"/>
            <w:vAlign w:val="bottom"/>
          </w:tcPr>
          <w:p w:rsidR="00E32F09" w:rsidRDefault="00550C26">
            <w:pPr>
              <w:spacing w:beforeAutospacing="1" w:afterAutospacing="1"/>
            </w:pPr>
            <w:r>
              <w:rPr>
                <w:color w:val="000000"/>
              </w:rPr>
              <w:t xml:space="preserve">CDBG eligible Low/Mod </w:t>
            </w:r>
            <w:r w:rsidR="00AF0987">
              <w:rPr>
                <w:color w:val="000000"/>
              </w:rPr>
              <w:t>Census Tract</w:t>
            </w:r>
            <w:r>
              <w:rPr>
                <w:color w:val="000000"/>
              </w:rPr>
              <w:t xml:space="preserve"> Block Group or Service Area</w:t>
            </w:r>
          </w:p>
        </w:tc>
      </w:tr>
      <w:tr w:rsidR="00E32F09">
        <w:trPr>
          <w:cantSplit/>
        </w:trPr>
        <w:tc>
          <w:tcPr>
            <w:tcW w:w="0" w:type="auto"/>
            <w:vAlign w:val="bottom"/>
          </w:tcPr>
          <w:p w:rsidR="00E32F09" w:rsidRDefault="00550C26">
            <w:pPr>
              <w:spacing w:beforeAutospacing="1" w:afterAutospacing="1"/>
            </w:pPr>
            <w:r>
              <w:rPr>
                <w:color w:val="000000"/>
              </w:rPr>
              <w:t>Townwide</w:t>
            </w:r>
          </w:p>
        </w:tc>
        <w:tc>
          <w:tcPr>
            <w:tcW w:w="0" w:type="auto"/>
            <w:vAlign w:val="bottom"/>
          </w:tcPr>
          <w:p w:rsidR="00E32F09" w:rsidRDefault="00550C26">
            <w:pPr>
              <w:spacing w:beforeAutospacing="1" w:afterAutospacing="1"/>
            </w:pPr>
            <w:r>
              <w:rPr>
                <w:color w:val="000000"/>
              </w:rPr>
              <w:t>50</w:t>
            </w:r>
          </w:p>
        </w:tc>
        <w:tc>
          <w:tcPr>
            <w:tcW w:w="0" w:type="auto"/>
            <w:vAlign w:val="bottom"/>
          </w:tcPr>
          <w:p w:rsidR="00E32F09" w:rsidRDefault="00550C26">
            <w:pPr>
              <w:spacing w:beforeAutospacing="1" w:afterAutospacing="1"/>
            </w:pPr>
            <w:r>
              <w:rPr>
                <w:color w:val="000000"/>
              </w:rPr>
              <w:t xml:space="preserve"> </w:t>
            </w:r>
          </w:p>
        </w:tc>
        <w:tc>
          <w:tcPr>
            <w:tcW w:w="0" w:type="auto"/>
            <w:vAlign w:val="bottom"/>
          </w:tcPr>
          <w:p w:rsidR="00E32F09" w:rsidRDefault="00550C26">
            <w:pPr>
              <w:spacing w:beforeAutospacing="1" w:afterAutospacing="1"/>
            </w:pPr>
            <w:r>
              <w:rPr>
                <w:color w:val="000000"/>
              </w:rPr>
              <w:t>Geographic area includes the entire town.</w:t>
            </w:r>
          </w:p>
        </w:tc>
      </w:tr>
    </w:tbl>
    <w:p w:rsidR="00E32F09" w:rsidRDefault="00550C2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46E5D">
        <w:rPr>
          <w:rFonts w:asciiTheme="minorHAnsi" w:hAnsiTheme="minorHAnsi"/>
          <w:noProof/>
        </w:rPr>
        <w:t>4</w:t>
      </w:r>
      <w:r>
        <w:rPr>
          <w:rFonts w:asciiTheme="minorHAnsi" w:hAnsiTheme="minorHAnsi"/>
        </w:rPr>
        <w:fldChar w:fldCharType="end"/>
      </w:r>
      <w:r>
        <w:rPr>
          <w:rFonts w:asciiTheme="minorHAnsi" w:hAnsiTheme="minorHAnsi"/>
        </w:rPr>
        <w:t xml:space="preserve"> – Identify the geographic distribution and location of investments</w:t>
      </w:r>
    </w:p>
    <w:p w:rsidR="00E32F09" w:rsidRDefault="00E32F09">
      <w:pPr>
        <w:keepNext/>
        <w:widowControl w:val="0"/>
        <w:spacing w:line="204" w:lineRule="auto"/>
        <w:rPr>
          <w:b/>
          <w:sz w:val="24"/>
          <w:szCs w:val="24"/>
        </w:rPr>
      </w:pPr>
    </w:p>
    <w:p w:rsidR="00E32F09" w:rsidRDefault="00550C26">
      <w:pPr>
        <w:widowControl w:val="0"/>
        <w:spacing w:line="204" w:lineRule="auto"/>
        <w:rPr>
          <w:b/>
          <w:sz w:val="24"/>
          <w:szCs w:val="24"/>
        </w:rPr>
      </w:pPr>
      <w:r>
        <w:rPr>
          <w:b/>
          <w:sz w:val="24"/>
          <w:szCs w:val="24"/>
        </w:rPr>
        <w:t>Narrative</w:t>
      </w:r>
    </w:p>
    <w:p w:rsidR="00E32F09" w:rsidRDefault="00550C26">
      <w:pPr>
        <w:widowControl w:val="0"/>
        <w:spacing w:beforeAutospacing="1" w:afterAutospacing="1"/>
        <w:rPr>
          <w:rFonts w:cs="Arial"/>
        </w:rPr>
      </w:pPr>
      <w:r>
        <w:rPr>
          <w:rFonts w:cs="Arial"/>
        </w:rPr>
        <w:t>First Time Home Buyer and Home Improvement program funds may be utilized anywhere in the town.  Infrastructure projects are limited to eligible CDBG service areas.  All of the infrastructure improvement projects were completed in CDBG target areas within the vil</w:t>
      </w:r>
      <w:r w:rsidR="004836FA">
        <w:rPr>
          <w:rFonts w:cs="Arial"/>
        </w:rPr>
        <w:t>lages of Endicott (Odell &amp; Oak Hill Ave</w:t>
      </w:r>
      <w:r>
        <w:rPr>
          <w:rFonts w:cs="Arial"/>
        </w:rPr>
        <w:t>.) and Johnson City (G</w:t>
      </w:r>
      <w:r w:rsidR="004836FA">
        <w:rPr>
          <w:rFonts w:cs="Arial"/>
        </w:rPr>
        <w:t>rand Ave.: Hudson-Harrison St.</w:t>
      </w:r>
      <w:r>
        <w:rPr>
          <w:rFonts w:cs="Arial"/>
        </w:rPr>
        <w:t>).</w:t>
      </w:r>
    </w:p>
    <w:p w:rsidR="00E32F09" w:rsidRDefault="00550C26">
      <w:pPr>
        <w:pageBreakBefore/>
        <w:widowControl w:val="0"/>
        <w:spacing w:line="240" w:lineRule="auto"/>
        <w:rPr>
          <w:b/>
          <w:sz w:val="24"/>
          <w:szCs w:val="24"/>
        </w:rPr>
      </w:pPr>
      <w:r>
        <w:rPr>
          <w:b/>
          <w:sz w:val="24"/>
          <w:szCs w:val="24"/>
        </w:rPr>
        <w:t>Leveraging</w:t>
      </w:r>
    </w:p>
    <w:p w:rsidR="00E32F09" w:rsidRDefault="00550C26">
      <w:pPr>
        <w:widowControl w:val="0"/>
        <w:spacing w:line="240" w:lineRule="auto"/>
        <w:rPr>
          <w:b/>
          <w:sz w:val="24"/>
          <w:szCs w:val="24"/>
        </w:rPr>
      </w:pPr>
      <w:r>
        <w:rPr>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rsidR="00E32F09" w:rsidRDefault="008539A6">
      <w:pPr>
        <w:widowControl w:val="0"/>
        <w:spacing w:beforeAutospacing="1" w:afterAutospacing="1"/>
        <w:rPr>
          <w:sz w:val="24"/>
          <w:szCs w:val="24"/>
        </w:rPr>
      </w:pPr>
      <w:r>
        <w:rPr>
          <w:sz w:val="24"/>
          <w:szCs w:val="24"/>
        </w:rPr>
        <w:t>In FFY 2021</w:t>
      </w:r>
      <w:r w:rsidR="00550C26">
        <w:rPr>
          <w:sz w:val="24"/>
          <w:szCs w:val="24"/>
        </w:rPr>
        <w:t xml:space="preserve">, the First Time Home Buyer program </w:t>
      </w:r>
      <w:r>
        <w:rPr>
          <w:sz w:val="24"/>
          <w:szCs w:val="24"/>
        </w:rPr>
        <w:t>had no active participants so there was no ability for the Town of Union to leverage CDBG funding</w:t>
      </w:r>
      <w:r w:rsidR="00550C26">
        <w:rPr>
          <w:sz w:val="24"/>
          <w:szCs w:val="24"/>
        </w:rPr>
        <w:t>.  The Economic Developme</w:t>
      </w:r>
      <w:r w:rsidR="0029055A">
        <w:rPr>
          <w:sz w:val="24"/>
          <w:szCs w:val="24"/>
        </w:rPr>
        <w:t xml:space="preserve">nt loan programs leveraged </w:t>
      </w:r>
      <w:r w:rsidR="0029055A" w:rsidRPr="0068167E">
        <w:rPr>
          <w:sz w:val="24"/>
          <w:szCs w:val="24"/>
        </w:rPr>
        <w:t>$</w:t>
      </w:r>
      <w:r w:rsidR="0068167E" w:rsidRPr="0068167E">
        <w:rPr>
          <w:sz w:val="24"/>
          <w:szCs w:val="24"/>
        </w:rPr>
        <w:t>0.63</w:t>
      </w:r>
      <w:r w:rsidR="00550C26">
        <w:rPr>
          <w:sz w:val="24"/>
          <w:szCs w:val="24"/>
        </w:rPr>
        <w:t xml:space="preserve"> for each CDBG dollar expended.</w:t>
      </w:r>
      <w:r w:rsidR="00550C26">
        <w:rPr>
          <w:sz w:val="24"/>
          <w:szCs w:val="24"/>
        </w:rPr>
        <w:br/>
      </w:r>
      <w:r w:rsidR="00550C26">
        <w:rPr>
          <w:sz w:val="24"/>
          <w:szCs w:val="24"/>
        </w:rPr>
        <w:br/>
      </w:r>
    </w:p>
    <w:p w:rsidR="00E32F09" w:rsidRDefault="00E32F09">
      <w:pPr>
        <w:widowControl w:val="0"/>
        <w:spacing w:after="0" w:line="240" w:lineRule="auto"/>
        <w:rPr>
          <w:sz w:val="24"/>
          <w:szCs w:val="24"/>
        </w:rPr>
      </w:pPr>
    </w:p>
    <w:p w:rsidR="00E32F09" w:rsidRDefault="00E32F09">
      <w:pPr>
        <w:spacing w:after="0" w:line="240" w:lineRule="auto"/>
      </w:pPr>
      <w:bookmarkStart w:id="1" w:name="_Toc309810475"/>
    </w:p>
    <w:p w:rsidR="00E32F09" w:rsidRDefault="00E32F09">
      <w:pPr>
        <w:sectPr w:rsidR="00E32F09" w:rsidSect="00493F19">
          <w:pgSz w:w="12240" w:h="15840" w:code="1"/>
          <w:pgMar w:top="1440" w:right="1440" w:bottom="1440" w:left="1440" w:header="720" w:footer="720"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docGrid w:linePitch="360"/>
        </w:sectPr>
      </w:pPr>
    </w:p>
    <w:p w:rsidR="00E32F09" w:rsidRDefault="00550C26">
      <w:pPr>
        <w:pStyle w:val="Heading2"/>
        <w:rPr>
          <w:rFonts w:ascii="Calibri" w:hAnsi="Calibri"/>
          <w:i w:val="0"/>
        </w:rPr>
      </w:pPr>
      <w:r>
        <w:rPr>
          <w:rFonts w:ascii="Calibri" w:hAnsi="Calibri"/>
          <w:i w:val="0"/>
        </w:rPr>
        <w:t>CR-20 - Affordable Housing 91.520(b)</w:t>
      </w:r>
    </w:p>
    <w:p w:rsidR="00E32F09" w:rsidRDefault="00550C26">
      <w:pPr>
        <w:keepNext/>
        <w:widowControl w:val="0"/>
        <w:spacing w:after="0" w:line="240" w:lineRule="auto"/>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rsidR="00E32F09" w:rsidRDefault="00E32F09">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E32F09">
        <w:trPr>
          <w:cantSplit/>
          <w:tblHeader/>
        </w:trPr>
        <w:tc>
          <w:tcPr>
            <w:tcW w:w="4293" w:type="dxa"/>
          </w:tcPr>
          <w:p w:rsidR="00E32F09" w:rsidRDefault="00E32F09">
            <w:pPr>
              <w:pStyle w:val="Caption"/>
              <w:keepNext/>
              <w:widowControl w:val="0"/>
              <w:jc w:val="center"/>
              <w:rPr>
                <w:rFonts w:ascii="Calibri" w:hAnsi="Calibri"/>
                <w:sz w:val="22"/>
                <w:szCs w:val="22"/>
              </w:rPr>
            </w:pPr>
          </w:p>
        </w:tc>
        <w:tc>
          <w:tcPr>
            <w:tcW w:w="2648" w:type="dxa"/>
          </w:tcPr>
          <w:p w:rsidR="00E32F09" w:rsidRDefault="00550C26">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E32F09" w:rsidRDefault="00550C26">
            <w:pPr>
              <w:pStyle w:val="Caption"/>
              <w:keepNext/>
              <w:widowControl w:val="0"/>
              <w:jc w:val="center"/>
              <w:rPr>
                <w:rFonts w:ascii="Calibri" w:hAnsi="Calibri"/>
                <w:sz w:val="22"/>
                <w:szCs w:val="22"/>
              </w:rPr>
            </w:pPr>
            <w:r>
              <w:rPr>
                <w:rFonts w:ascii="Calibri" w:hAnsi="Calibri"/>
                <w:sz w:val="22"/>
                <w:szCs w:val="22"/>
              </w:rPr>
              <w:t>Actual</w:t>
            </w:r>
          </w:p>
        </w:tc>
      </w:tr>
      <w:tr w:rsidR="00E32F09">
        <w:trPr>
          <w:cantSplit/>
        </w:trPr>
        <w:tc>
          <w:tcPr>
            <w:tcW w:w="4293" w:type="dxa"/>
            <w:vAlign w:val="bottom"/>
          </w:tcPr>
          <w:p w:rsidR="00E32F09" w:rsidRDefault="00550C26">
            <w:pPr>
              <w:spacing w:beforeAutospacing="1" w:afterAutospacing="1"/>
            </w:pPr>
            <w:r>
              <w:rPr>
                <w:color w:val="000000"/>
              </w:rPr>
              <w:t>Number of Homeless households to be provided affordable housing units</w:t>
            </w:r>
          </w:p>
        </w:tc>
        <w:tc>
          <w:tcPr>
            <w:tcW w:w="2648" w:type="dxa"/>
            <w:vAlign w:val="bottom"/>
          </w:tcPr>
          <w:p w:rsidR="00E32F09" w:rsidRDefault="00FF203E">
            <w:pPr>
              <w:spacing w:beforeAutospacing="1" w:afterAutospacing="1"/>
              <w:jc w:val="right"/>
            </w:pPr>
            <w:r>
              <w:t>0</w:t>
            </w:r>
          </w:p>
        </w:tc>
        <w:tc>
          <w:tcPr>
            <w:tcW w:w="2649" w:type="dxa"/>
            <w:vAlign w:val="bottom"/>
          </w:tcPr>
          <w:p w:rsidR="00E32F09" w:rsidRDefault="00FF203E">
            <w:pPr>
              <w:spacing w:beforeAutospacing="1" w:afterAutospacing="1"/>
              <w:jc w:val="right"/>
            </w:pPr>
            <w:r>
              <w:t>0</w:t>
            </w:r>
          </w:p>
        </w:tc>
      </w:tr>
      <w:tr w:rsidR="00E32F09">
        <w:trPr>
          <w:cantSplit/>
        </w:trPr>
        <w:tc>
          <w:tcPr>
            <w:tcW w:w="4293" w:type="dxa"/>
            <w:vAlign w:val="bottom"/>
          </w:tcPr>
          <w:p w:rsidR="00E32F09" w:rsidRDefault="00550C26">
            <w:pPr>
              <w:spacing w:beforeAutospacing="1" w:afterAutospacing="1"/>
            </w:pPr>
            <w:r>
              <w:rPr>
                <w:color w:val="000000"/>
              </w:rPr>
              <w:t>Number of Non-Homeless households to be provided affordable housing units</w:t>
            </w:r>
          </w:p>
        </w:tc>
        <w:tc>
          <w:tcPr>
            <w:tcW w:w="2648" w:type="dxa"/>
            <w:vAlign w:val="bottom"/>
          </w:tcPr>
          <w:p w:rsidR="00E32F09" w:rsidRDefault="00FF203E">
            <w:pPr>
              <w:spacing w:beforeAutospacing="1" w:afterAutospacing="1"/>
              <w:jc w:val="right"/>
            </w:pPr>
            <w:r>
              <w:t>0</w:t>
            </w:r>
          </w:p>
        </w:tc>
        <w:tc>
          <w:tcPr>
            <w:tcW w:w="2649" w:type="dxa"/>
            <w:vAlign w:val="bottom"/>
          </w:tcPr>
          <w:p w:rsidR="00E32F09" w:rsidRDefault="00FF203E">
            <w:pPr>
              <w:spacing w:beforeAutospacing="1" w:afterAutospacing="1"/>
              <w:jc w:val="right"/>
            </w:pPr>
            <w:r>
              <w:t>0</w:t>
            </w:r>
          </w:p>
        </w:tc>
      </w:tr>
      <w:tr w:rsidR="00E32F09">
        <w:trPr>
          <w:cantSplit/>
        </w:trPr>
        <w:tc>
          <w:tcPr>
            <w:tcW w:w="4293" w:type="dxa"/>
            <w:vAlign w:val="bottom"/>
          </w:tcPr>
          <w:p w:rsidR="00E32F09" w:rsidRDefault="00550C26">
            <w:pPr>
              <w:spacing w:beforeAutospacing="1" w:afterAutospacing="1"/>
            </w:pPr>
            <w:r>
              <w:rPr>
                <w:color w:val="000000"/>
              </w:rPr>
              <w:t>Number of Special-Needs households to be provided affordable housing units</w:t>
            </w:r>
          </w:p>
        </w:tc>
        <w:tc>
          <w:tcPr>
            <w:tcW w:w="2648" w:type="dxa"/>
            <w:vAlign w:val="bottom"/>
          </w:tcPr>
          <w:p w:rsidR="00E32F09" w:rsidRDefault="00FF203E">
            <w:pPr>
              <w:spacing w:beforeAutospacing="1" w:afterAutospacing="1"/>
              <w:jc w:val="right"/>
            </w:pPr>
            <w:r>
              <w:t>0</w:t>
            </w:r>
          </w:p>
        </w:tc>
        <w:tc>
          <w:tcPr>
            <w:tcW w:w="2649" w:type="dxa"/>
            <w:vAlign w:val="bottom"/>
          </w:tcPr>
          <w:p w:rsidR="00E32F09" w:rsidRDefault="00FF203E">
            <w:pPr>
              <w:spacing w:beforeAutospacing="1" w:afterAutospacing="1"/>
              <w:jc w:val="right"/>
            </w:pPr>
            <w:r>
              <w:t>0</w:t>
            </w:r>
          </w:p>
        </w:tc>
      </w:tr>
      <w:tr w:rsidR="00E32F09">
        <w:trPr>
          <w:cantSplit/>
        </w:trPr>
        <w:tc>
          <w:tcPr>
            <w:tcW w:w="4293" w:type="dxa"/>
          </w:tcPr>
          <w:p w:rsidR="00E32F09" w:rsidRDefault="00550C26">
            <w:pPr>
              <w:spacing w:beforeAutospacing="1" w:afterAutospacing="1"/>
            </w:pPr>
            <w:r>
              <w:rPr>
                <w:b/>
                <w:color w:val="000000"/>
              </w:rPr>
              <w:t>Total</w:t>
            </w:r>
          </w:p>
        </w:tc>
        <w:tc>
          <w:tcPr>
            <w:tcW w:w="2648" w:type="dxa"/>
            <w:vAlign w:val="bottom"/>
          </w:tcPr>
          <w:p w:rsidR="00E32F09" w:rsidRDefault="00FF203E">
            <w:pPr>
              <w:spacing w:beforeAutospacing="1" w:afterAutospacing="1"/>
              <w:jc w:val="right"/>
            </w:pPr>
            <w:r>
              <w:t>0</w:t>
            </w:r>
          </w:p>
        </w:tc>
        <w:tc>
          <w:tcPr>
            <w:tcW w:w="2649" w:type="dxa"/>
            <w:vAlign w:val="bottom"/>
          </w:tcPr>
          <w:p w:rsidR="00E32F09" w:rsidRDefault="00FF203E">
            <w:pPr>
              <w:spacing w:beforeAutospacing="1" w:afterAutospacing="1"/>
              <w:jc w:val="right"/>
            </w:pPr>
            <w:r>
              <w:t>0</w:t>
            </w:r>
          </w:p>
        </w:tc>
      </w:tr>
    </w:tbl>
    <w:p w:rsidR="00E32F09" w:rsidRDefault="00550C2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46E5D">
        <w:rPr>
          <w:rFonts w:asciiTheme="minorHAnsi" w:hAnsiTheme="minorHAnsi"/>
          <w:noProof/>
        </w:rPr>
        <w:t>5</w:t>
      </w:r>
      <w:r>
        <w:rPr>
          <w:rFonts w:asciiTheme="minorHAnsi" w:hAnsiTheme="minorHAnsi"/>
        </w:rPr>
        <w:fldChar w:fldCharType="end"/>
      </w:r>
      <w:r>
        <w:rPr>
          <w:rFonts w:asciiTheme="minorHAnsi" w:hAnsiTheme="minorHAnsi"/>
        </w:rPr>
        <w:t xml:space="preserve"> – Number of Households</w:t>
      </w:r>
    </w:p>
    <w:p w:rsidR="00E32F09" w:rsidRDefault="00E32F09"/>
    <w:p w:rsidR="00E32F09" w:rsidRDefault="00E32F09"/>
    <w:p w:rsidR="00E32F09" w:rsidRDefault="00E32F09">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E32F09">
        <w:trPr>
          <w:cantSplit/>
          <w:tblHeader/>
        </w:trPr>
        <w:tc>
          <w:tcPr>
            <w:tcW w:w="4293" w:type="dxa"/>
          </w:tcPr>
          <w:p w:rsidR="00E32F09" w:rsidRDefault="00E32F09">
            <w:pPr>
              <w:pStyle w:val="Caption"/>
              <w:keepNext/>
              <w:widowControl w:val="0"/>
              <w:jc w:val="center"/>
              <w:rPr>
                <w:rFonts w:ascii="Calibri" w:hAnsi="Calibri"/>
                <w:sz w:val="22"/>
                <w:szCs w:val="22"/>
              </w:rPr>
            </w:pPr>
          </w:p>
        </w:tc>
        <w:tc>
          <w:tcPr>
            <w:tcW w:w="2648" w:type="dxa"/>
          </w:tcPr>
          <w:p w:rsidR="00E32F09" w:rsidRDefault="00550C26">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E32F09" w:rsidRDefault="00550C26">
            <w:pPr>
              <w:pStyle w:val="Caption"/>
              <w:keepNext/>
              <w:widowControl w:val="0"/>
              <w:jc w:val="center"/>
              <w:rPr>
                <w:rFonts w:ascii="Calibri" w:hAnsi="Calibri"/>
                <w:sz w:val="22"/>
                <w:szCs w:val="22"/>
              </w:rPr>
            </w:pPr>
            <w:r>
              <w:rPr>
                <w:rFonts w:ascii="Calibri" w:hAnsi="Calibri"/>
                <w:sz w:val="22"/>
                <w:szCs w:val="22"/>
              </w:rPr>
              <w:t>Actual</w:t>
            </w:r>
          </w:p>
        </w:tc>
      </w:tr>
      <w:tr w:rsidR="00E32F09">
        <w:trPr>
          <w:cantSplit/>
        </w:trPr>
        <w:tc>
          <w:tcPr>
            <w:tcW w:w="4293" w:type="dxa"/>
            <w:vAlign w:val="bottom"/>
          </w:tcPr>
          <w:p w:rsidR="00E32F09" w:rsidRDefault="00550C26">
            <w:pPr>
              <w:spacing w:beforeAutospacing="1" w:afterAutospacing="1"/>
            </w:pPr>
            <w:r>
              <w:rPr>
                <w:color w:val="000000"/>
              </w:rPr>
              <w:t>Number of households supported through Rental Assistance</w:t>
            </w:r>
          </w:p>
        </w:tc>
        <w:tc>
          <w:tcPr>
            <w:tcW w:w="2648" w:type="dxa"/>
            <w:vAlign w:val="bottom"/>
          </w:tcPr>
          <w:p w:rsidR="00E32F09" w:rsidRDefault="00FF203E">
            <w:pPr>
              <w:spacing w:beforeAutospacing="1" w:afterAutospacing="1"/>
              <w:jc w:val="right"/>
            </w:pPr>
            <w:r>
              <w:t>350</w:t>
            </w:r>
          </w:p>
        </w:tc>
        <w:tc>
          <w:tcPr>
            <w:tcW w:w="2649" w:type="dxa"/>
            <w:vAlign w:val="bottom"/>
          </w:tcPr>
          <w:p w:rsidR="00E32F09" w:rsidRDefault="00FF203E">
            <w:pPr>
              <w:spacing w:beforeAutospacing="1" w:afterAutospacing="1"/>
              <w:jc w:val="right"/>
            </w:pPr>
            <w:r>
              <w:t>297</w:t>
            </w:r>
          </w:p>
        </w:tc>
      </w:tr>
      <w:tr w:rsidR="00E32F09">
        <w:trPr>
          <w:cantSplit/>
        </w:trPr>
        <w:tc>
          <w:tcPr>
            <w:tcW w:w="4293" w:type="dxa"/>
            <w:vAlign w:val="bottom"/>
          </w:tcPr>
          <w:p w:rsidR="00E32F09" w:rsidRDefault="00550C26">
            <w:pPr>
              <w:spacing w:beforeAutospacing="1" w:afterAutospacing="1"/>
            </w:pPr>
            <w:r>
              <w:rPr>
                <w:color w:val="000000"/>
              </w:rPr>
              <w:t>Number of households supported through The Production of New Units</w:t>
            </w:r>
          </w:p>
        </w:tc>
        <w:tc>
          <w:tcPr>
            <w:tcW w:w="2648" w:type="dxa"/>
            <w:vAlign w:val="bottom"/>
          </w:tcPr>
          <w:p w:rsidR="00E32F09" w:rsidRDefault="00FF203E">
            <w:pPr>
              <w:spacing w:beforeAutospacing="1" w:afterAutospacing="1"/>
              <w:jc w:val="right"/>
            </w:pPr>
            <w:r>
              <w:t>0</w:t>
            </w:r>
          </w:p>
        </w:tc>
        <w:tc>
          <w:tcPr>
            <w:tcW w:w="2649" w:type="dxa"/>
            <w:vAlign w:val="bottom"/>
          </w:tcPr>
          <w:p w:rsidR="00E32F09" w:rsidRDefault="00FF203E">
            <w:pPr>
              <w:spacing w:beforeAutospacing="1" w:afterAutospacing="1"/>
              <w:jc w:val="right"/>
            </w:pPr>
            <w:r>
              <w:t>0</w:t>
            </w:r>
          </w:p>
        </w:tc>
      </w:tr>
      <w:tr w:rsidR="00E32F09">
        <w:trPr>
          <w:cantSplit/>
        </w:trPr>
        <w:tc>
          <w:tcPr>
            <w:tcW w:w="4293" w:type="dxa"/>
            <w:vAlign w:val="bottom"/>
          </w:tcPr>
          <w:p w:rsidR="00E32F09" w:rsidRDefault="00550C26">
            <w:pPr>
              <w:spacing w:beforeAutospacing="1" w:afterAutospacing="1"/>
            </w:pPr>
            <w:r>
              <w:rPr>
                <w:color w:val="000000"/>
              </w:rPr>
              <w:t>Number of households supported through Rehab of Existing Units</w:t>
            </w:r>
          </w:p>
        </w:tc>
        <w:tc>
          <w:tcPr>
            <w:tcW w:w="2648" w:type="dxa"/>
            <w:vAlign w:val="bottom"/>
          </w:tcPr>
          <w:p w:rsidR="00E32F09" w:rsidRDefault="00FF203E">
            <w:pPr>
              <w:spacing w:beforeAutospacing="1" w:afterAutospacing="1"/>
              <w:jc w:val="right"/>
            </w:pPr>
            <w:r>
              <w:t>60</w:t>
            </w:r>
          </w:p>
        </w:tc>
        <w:tc>
          <w:tcPr>
            <w:tcW w:w="2649" w:type="dxa"/>
            <w:vAlign w:val="bottom"/>
          </w:tcPr>
          <w:p w:rsidR="00E32F09" w:rsidRDefault="00FF203E">
            <w:pPr>
              <w:spacing w:beforeAutospacing="1" w:afterAutospacing="1"/>
              <w:jc w:val="right"/>
            </w:pPr>
            <w:r>
              <w:t>71</w:t>
            </w:r>
          </w:p>
        </w:tc>
      </w:tr>
      <w:tr w:rsidR="00E32F09">
        <w:trPr>
          <w:cantSplit/>
        </w:trPr>
        <w:tc>
          <w:tcPr>
            <w:tcW w:w="4293" w:type="dxa"/>
            <w:vAlign w:val="bottom"/>
          </w:tcPr>
          <w:p w:rsidR="00E32F09" w:rsidRDefault="00550C26">
            <w:pPr>
              <w:spacing w:beforeAutospacing="1" w:afterAutospacing="1"/>
            </w:pPr>
            <w:r>
              <w:rPr>
                <w:color w:val="000000"/>
              </w:rPr>
              <w:t>Number of households supported through Acquisition of Existing Units</w:t>
            </w:r>
          </w:p>
        </w:tc>
        <w:tc>
          <w:tcPr>
            <w:tcW w:w="2648" w:type="dxa"/>
            <w:vAlign w:val="bottom"/>
          </w:tcPr>
          <w:p w:rsidR="00E32F09" w:rsidRDefault="00FF203E">
            <w:pPr>
              <w:spacing w:beforeAutospacing="1" w:afterAutospacing="1"/>
              <w:jc w:val="right"/>
            </w:pPr>
            <w:r>
              <w:t>0</w:t>
            </w:r>
          </w:p>
        </w:tc>
        <w:tc>
          <w:tcPr>
            <w:tcW w:w="2649" w:type="dxa"/>
            <w:vAlign w:val="bottom"/>
          </w:tcPr>
          <w:p w:rsidR="00E32F09" w:rsidRDefault="00FF203E">
            <w:pPr>
              <w:spacing w:beforeAutospacing="1" w:afterAutospacing="1"/>
              <w:jc w:val="right"/>
            </w:pPr>
            <w:r>
              <w:t>0</w:t>
            </w:r>
          </w:p>
        </w:tc>
      </w:tr>
      <w:tr w:rsidR="00E32F09">
        <w:trPr>
          <w:cantSplit/>
        </w:trPr>
        <w:tc>
          <w:tcPr>
            <w:tcW w:w="4293" w:type="dxa"/>
          </w:tcPr>
          <w:p w:rsidR="00E32F09" w:rsidRDefault="00550C26">
            <w:pPr>
              <w:spacing w:beforeAutospacing="1" w:afterAutospacing="1"/>
            </w:pPr>
            <w:r>
              <w:rPr>
                <w:b/>
                <w:color w:val="000000"/>
              </w:rPr>
              <w:t>Total</w:t>
            </w:r>
          </w:p>
        </w:tc>
        <w:tc>
          <w:tcPr>
            <w:tcW w:w="2648" w:type="dxa"/>
            <w:vAlign w:val="bottom"/>
          </w:tcPr>
          <w:p w:rsidR="00E32F09" w:rsidRDefault="00FF203E">
            <w:pPr>
              <w:spacing w:beforeAutospacing="1" w:afterAutospacing="1"/>
              <w:jc w:val="right"/>
            </w:pPr>
            <w:r>
              <w:t>410</w:t>
            </w:r>
          </w:p>
        </w:tc>
        <w:tc>
          <w:tcPr>
            <w:tcW w:w="2649" w:type="dxa"/>
            <w:vAlign w:val="bottom"/>
          </w:tcPr>
          <w:p w:rsidR="00E32F09" w:rsidRDefault="00FF203E">
            <w:pPr>
              <w:spacing w:beforeAutospacing="1" w:afterAutospacing="1"/>
              <w:jc w:val="right"/>
            </w:pPr>
            <w:r>
              <w:t>368</w:t>
            </w:r>
          </w:p>
        </w:tc>
      </w:tr>
    </w:tbl>
    <w:p w:rsidR="00E32F09" w:rsidRDefault="00550C2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46E5D">
        <w:rPr>
          <w:rFonts w:asciiTheme="minorHAnsi" w:hAnsiTheme="minorHAnsi"/>
          <w:noProof/>
        </w:rPr>
        <w:t>6</w:t>
      </w:r>
      <w:r>
        <w:rPr>
          <w:rFonts w:asciiTheme="minorHAnsi" w:hAnsiTheme="minorHAnsi"/>
        </w:rPr>
        <w:fldChar w:fldCharType="end"/>
      </w:r>
      <w:r>
        <w:rPr>
          <w:rFonts w:asciiTheme="minorHAnsi" w:hAnsiTheme="minorHAnsi"/>
        </w:rPr>
        <w:t xml:space="preserve"> – Number of Households Supported</w:t>
      </w:r>
    </w:p>
    <w:p w:rsidR="00E32F09" w:rsidRDefault="00E32F09">
      <w:pPr>
        <w:rPr>
          <w:rFonts w:cs="Arial"/>
        </w:rPr>
      </w:pPr>
    </w:p>
    <w:p w:rsidR="00E32F09" w:rsidRDefault="00550C26">
      <w:pPr>
        <w:widowControl w:val="0"/>
        <w:spacing w:line="204" w:lineRule="auto"/>
        <w:rPr>
          <w:b/>
          <w:sz w:val="24"/>
          <w:szCs w:val="24"/>
        </w:rPr>
      </w:pPr>
      <w:r>
        <w:rPr>
          <w:b/>
          <w:sz w:val="24"/>
          <w:szCs w:val="24"/>
        </w:rPr>
        <w:t>Discuss the difference between goals and outcomes and problems encountered in meeting these goals.</w:t>
      </w:r>
    </w:p>
    <w:p w:rsidR="00E32F09" w:rsidRDefault="00550C26">
      <w:pPr>
        <w:spacing w:beforeAutospacing="1" w:afterAutospacing="1"/>
        <w:rPr>
          <w:rFonts w:cs="Arial"/>
        </w:rPr>
      </w:pPr>
      <w:r>
        <w:rPr>
          <w:rFonts w:cs="Arial"/>
        </w:rPr>
        <w:t>The Home Improvement Program progress that was somewhat constrained in the previous</w:t>
      </w:r>
      <w:r w:rsidR="00136BB5">
        <w:rPr>
          <w:rFonts w:cs="Arial"/>
        </w:rPr>
        <w:t xml:space="preserve"> program year by the loss of staff and the organization that was completing Administrative duties for the program were no longer available</w:t>
      </w:r>
      <w:r>
        <w:rPr>
          <w:rFonts w:cs="Arial"/>
        </w:rPr>
        <w:t>.</w:t>
      </w:r>
      <w:r w:rsidR="00136BB5">
        <w:rPr>
          <w:rFonts w:cs="Arial"/>
        </w:rPr>
        <w:t xml:space="preserve"> The program is beginning to get back on track with four (4) current projects being worked on and two more in the approval phase of the program.</w:t>
      </w:r>
      <w:r>
        <w:rPr>
          <w:rFonts w:cs="Arial"/>
        </w:rPr>
        <w:t xml:space="preserve"> Housing Choice Voucher program leasing rates were lower due to HUDs continued pro-ration of administrative fees owed to </w:t>
      </w:r>
      <w:r w:rsidR="00AF0987">
        <w:rPr>
          <w:rFonts w:cs="Arial"/>
        </w:rPr>
        <w:t>PHAs, which</w:t>
      </w:r>
      <w:r>
        <w:rPr>
          <w:rFonts w:cs="Arial"/>
        </w:rPr>
        <w:t xml:space="preserve"> has reduced staff levels. For much of the past decade, the town's HA has only been receiving roughly 80% of earned administrative fees calculated by the terms of the original agreements which reference payment under the "Column A" formula.  The chronic withholding of earned </w:t>
      </w:r>
      <w:r w:rsidR="00AF0987">
        <w:rPr>
          <w:rFonts w:cs="Arial"/>
        </w:rPr>
        <w:t>administrative</w:t>
      </w:r>
      <w:r>
        <w:rPr>
          <w:rFonts w:cs="Arial"/>
        </w:rPr>
        <w:t xml:space="preserve"> fees has limited efforts to fill key vacancies and upgrade software </w:t>
      </w:r>
      <w:r w:rsidR="00AF0987">
        <w:rPr>
          <w:rFonts w:cs="Arial"/>
        </w:rPr>
        <w:t>capabilities</w:t>
      </w:r>
      <w:r>
        <w:rPr>
          <w:rFonts w:cs="Arial"/>
        </w:rPr>
        <w:t xml:space="preserve"> that would </w:t>
      </w:r>
      <w:r w:rsidR="00AF0987">
        <w:rPr>
          <w:rFonts w:cs="Arial"/>
        </w:rPr>
        <w:t>ultimately</w:t>
      </w:r>
      <w:r>
        <w:rPr>
          <w:rFonts w:cs="Arial"/>
        </w:rPr>
        <w:t xml:space="preserve"> reduce operating costs for items such as printing and postage and would reduce the amount of time that staff has to expend responding to verbal requests for updates on waiting list status.</w:t>
      </w:r>
    </w:p>
    <w:p w:rsidR="008E7958" w:rsidRDefault="00550C26" w:rsidP="008E7958">
      <w:pPr>
        <w:widowControl w:val="0"/>
        <w:spacing w:line="204" w:lineRule="auto"/>
        <w:rPr>
          <w:b/>
          <w:sz w:val="24"/>
          <w:szCs w:val="24"/>
        </w:rPr>
      </w:pPr>
      <w:r>
        <w:rPr>
          <w:b/>
          <w:sz w:val="24"/>
          <w:szCs w:val="24"/>
        </w:rPr>
        <w:t>Discuss how these outcomes will impact future annual action plans.</w:t>
      </w:r>
    </w:p>
    <w:p w:rsidR="00E32F09" w:rsidRPr="008E7958" w:rsidRDefault="00550C26" w:rsidP="008E7958">
      <w:pPr>
        <w:widowControl w:val="0"/>
        <w:spacing w:line="204" w:lineRule="auto"/>
        <w:rPr>
          <w:b/>
          <w:sz w:val="24"/>
          <w:szCs w:val="24"/>
        </w:rPr>
      </w:pPr>
      <w:r>
        <w:rPr>
          <w:rFonts w:cs="Arial"/>
        </w:rPr>
        <w:br/>
        <w:t>No changes are planned based upon current reporting data.</w:t>
      </w:r>
    </w:p>
    <w:p w:rsidR="00E32F09" w:rsidRDefault="00550C26">
      <w:pPr>
        <w:keepNext/>
        <w:widowControl w:val="0"/>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p w:rsidR="00E32F09" w:rsidRDefault="00E32F09">
      <w:pPr>
        <w:widowControl w:val="0"/>
        <w:spacing w:line="204" w:lineRule="auto"/>
        <w:rPr>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E32F09">
        <w:trPr>
          <w:cantSplit/>
        </w:trPr>
        <w:tc>
          <w:tcPr>
            <w:tcW w:w="4081" w:type="dxa"/>
          </w:tcPr>
          <w:p w:rsidR="00E32F09" w:rsidRDefault="00550C26">
            <w:pPr>
              <w:keepNext/>
              <w:widowControl w:val="0"/>
              <w:spacing w:after="0" w:line="240" w:lineRule="auto"/>
              <w:jc w:val="center"/>
              <w:rPr>
                <w:b/>
              </w:rPr>
            </w:pPr>
            <w:r>
              <w:rPr>
                <w:b/>
              </w:rPr>
              <w:t>Number  of Households Served</w:t>
            </w:r>
          </w:p>
        </w:tc>
        <w:tc>
          <w:tcPr>
            <w:tcW w:w="1859" w:type="dxa"/>
          </w:tcPr>
          <w:p w:rsidR="00E32F09" w:rsidRDefault="00550C26">
            <w:pPr>
              <w:keepNext/>
              <w:widowControl w:val="0"/>
              <w:spacing w:after="0" w:line="240" w:lineRule="auto"/>
              <w:jc w:val="center"/>
              <w:rPr>
                <w:b/>
              </w:rPr>
            </w:pPr>
            <w:r>
              <w:rPr>
                <w:b/>
              </w:rPr>
              <w:t>CDBG Actual</w:t>
            </w:r>
          </w:p>
        </w:tc>
        <w:tc>
          <w:tcPr>
            <w:tcW w:w="1915" w:type="dxa"/>
            <w:gridSpan w:val="2"/>
          </w:tcPr>
          <w:p w:rsidR="00E32F09" w:rsidRDefault="00550C26">
            <w:pPr>
              <w:keepNext/>
              <w:widowControl w:val="0"/>
              <w:spacing w:after="0" w:line="240" w:lineRule="auto"/>
              <w:jc w:val="center"/>
              <w:rPr>
                <w:b/>
              </w:rPr>
            </w:pPr>
            <w:r>
              <w:rPr>
                <w:b/>
              </w:rPr>
              <w:t>HOME Actual</w:t>
            </w:r>
          </w:p>
        </w:tc>
      </w:tr>
      <w:tr w:rsidR="00E32F09">
        <w:trPr>
          <w:gridAfter w:val="1"/>
          <w:wAfter w:w="25" w:type="dxa"/>
          <w:cantSplit/>
        </w:trPr>
        <w:tc>
          <w:tcPr>
            <w:tcW w:w="4081" w:type="dxa"/>
            <w:vAlign w:val="bottom"/>
          </w:tcPr>
          <w:p w:rsidR="00E32F09" w:rsidRPr="00C30076" w:rsidRDefault="00550C26">
            <w:pPr>
              <w:spacing w:beforeAutospacing="1" w:afterAutospacing="1"/>
            </w:pPr>
            <w:r w:rsidRPr="00C30076">
              <w:rPr>
                <w:color w:val="000000"/>
              </w:rPr>
              <w:t>Extremely Low-income</w:t>
            </w:r>
          </w:p>
        </w:tc>
        <w:tc>
          <w:tcPr>
            <w:tcW w:w="1859" w:type="dxa"/>
            <w:vAlign w:val="bottom"/>
          </w:tcPr>
          <w:p w:rsidR="00E32F09" w:rsidRPr="00C30076" w:rsidRDefault="00C30076">
            <w:pPr>
              <w:spacing w:beforeAutospacing="1" w:afterAutospacing="1"/>
              <w:jc w:val="right"/>
            </w:pPr>
            <w:r w:rsidRPr="00C30076">
              <w:t>18</w:t>
            </w:r>
          </w:p>
        </w:tc>
        <w:tc>
          <w:tcPr>
            <w:tcW w:w="1890" w:type="dxa"/>
            <w:vAlign w:val="bottom"/>
          </w:tcPr>
          <w:p w:rsidR="00E32F09" w:rsidRDefault="00550C26">
            <w:pPr>
              <w:spacing w:beforeAutospacing="1" w:afterAutospacing="1"/>
              <w:jc w:val="right"/>
            </w:pPr>
            <w:r>
              <w:rPr>
                <w:color w:val="000000"/>
              </w:rPr>
              <w:t>0</w:t>
            </w:r>
          </w:p>
        </w:tc>
      </w:tr>
      <w:tr w:rsidR="00E32F09">
        <w:trPr>
          <w:gridAfter w:val="1"/>
          <w:wAfter w:w="25" w:type="dxa"/>
          <w:cantSplit/>
        </w:trPr>
        <w:tc>
          <w:tcPr>
            <w:tcW w:w="4081" w:type="dxa"/>
            <w:vAlign w:val="bottom"/>
          </w:tcPr>
          <w:p w:rsidR="00E32F09" w:rsidRPr="00C30076" w:rsidRDefault="00550C26">
            <w:pPr>
              <w:spacing w:beforeAutospacing="1" w:afterAutospacing="1"/>
            </w:pPr>
            <w:r w:rsidRPr="00C30076">
              <w:rPr>
                <w:color w:val="000000"/>
              </w:rPr>
              <w:t>Low-income</w:t>
            </w:r>
          </w:p>
        </w:tc>
        <w:tc>
          <w:tcPr>
            <w:tcW w:w="1859" w:type="dxa"/>
            <w:vAlign w:val="bottom"/>
          </w:tcPr>
          <w:p w:rsidR="00E32F09" w:rsidRPr="00C30076" w:rsidRDefault="00C30076">
            <w:pPr>
              <w:spacing w:beforeAutospacing="1" w:afterAutospacing="1"/>
              <w:jc w:val="right"/>
            </w:pPr>
            <w:r w:rsidRPr="00C30076">
              <w:t>43</w:t>
            </w:r>
          </w:p>
        </w:tc>
        <w:tc>
          <w:tcPr>
            <w:tcW w:w="1890" w:type="dxa"/>
            <w:vAlign w:val="bottom"/>
          </w:tcPr>
          <w:p w:rsidR="00E32F09" w:rsidRDefault="00550C26">
            <w:pPr>
              <w:spacing w:beforeAutospacing="1" w:afterAutospacing="1"/>
              <w:jc w:val="right"/>
            </w:pPr>
            <w:r>
              <w:rPr>
                <w:color w:val="000000"/>
              </w:rPr>
              <w:t>0</w:t>
            </w:r>
          </w:p>
        </w:tc>
      </w:tr>
      <w:tr w:rsidR="00E32F09">
        <w:trPr>
          <w:gridAfter w:val="1"/>
          <w:wAfter w:w="25" w:type="dxa"/>
          <w:cantSplit/>
        </w:trPr>
        <w:tc>
          <w:tcPr>
            <w:tcW w:w="4081" w:type="dxa"/>
            <w:vAlign w:val="bottom"/>
          </w:tcPr>
          <w:p w:rsidR="00E32F09" w:rsidRPr="00C30076" w:rsidRDefault="00550C26">
            <w:pPr>
              <w:spacing w:beforeAutospacing="1" w:afterAutospacing="1"/>
            </w:pPr>
            <w:r w:rsidRPr="00C30076">
              <w:rPr>
                <w:color w:val="000000"/>
              </w:rPr>
              <w:t>Moderate-income</w:t>
            </w:r>
          </w:p>
        </w:tc>
        <w:tc>
          <w:tcPr>
            <w:tcW w:w="1859" w:type="dxa"/>
            <w:vAlign w:val="bottom"/>
          </w:tcPr>
          <w:p w:rsidR="00E32F09" w:rsidRPr="00C30076" w:rsidRDefault="00C30076">
            <w:pPr>
              <w:spacing w:beforeAutospacing="1" w:afterAutospacing="1"/>
              <w:jc w:val="right"/>
            </w:pPr>
            <w:r w:rsidRPr="00C30076">
              <w:t>17</w:t>
            </w:r>
          </w:p>
        </w:tc>
        <w:tc>
          <w:tcPr>
            <w:tcW w:w="1890" w:type="dxa"/>
            <w:vAlign w:val="bottom"/>
          </w:tcPr>
          <w:p w:rsidR="00E32F09" w:rsidRDefault="00550C26">
            <w:pPr>
              <w:spacing w:beforeAutospacing="1" w:afterAutospacing="1"/>
              <w:jc w:val="right"/>
            </w:pPr>
            <w:r>
              <w:rPr>
                <w:color w:val="000000"/>
              </w:rPr>
              <w:t>0</w:t>
            </w:r>
          </w:p>
        </w:tc>
      </w:tr>
      <w:tr w:rsidR="00E32F09">
        <w:trPr>
          <w:gridAfter w:val="1"/>
          <w:wAfter w:w="25" w:type="dxa"/>
          <w:cantSplit/>
        </w:trPr>
        <w:tc>
          <w:tcPr>
            <w:tcW w:w="4081" w:type="dxa"/>
            <w:vAlign w:val="bottom"/>
          </w:tcPr>
          <w:p w:rsidR="00E32F09" w:rsidRPr="00C30076" w:rsidRDefault="00550C26">
            <w:pPr>
              <w:spacing w:beforeAutospacing="1" w:afterAutospacing="1"/>
            </w:pPr>
            <w:r w:rsidRPr="00C30076">
              <w:rPr>
                <w:b/>
                <w:color w:val="000000"/>
              </w:rPr>
              <w:t>Total</w:t>
            </w:r>
          </w:p>
        </w:tc>
        <w:tc>
          <w:tcPr>
            <w:tcW w:w="1859" w:type="dxa"/>
            <w:vAlign w:val="bottom"/>
          </w:tcPr>
          <w:p w:rsidR="00E32F09" w:rsidRPr="00C30076" w:rsidRDefault="00C30076">
            <w:pPr>
              <w:spacing w:beforeAutospacing="1" w:afterAutospacing="1"/>
              <w:jc w:val="right"/>
            </w:pPr>
            <w:r w:rsidRPr="00C30076">
              <w:t>78</w:t>
            </w:r>
          </w:p>
        </w:tc>
        <w:tc>
          <w:tcPr>
            <w:tcW w:w="1890" w:type="dxa"/>
            <w:vAlign w:val="bottom"/>
          </w:tcPr>
          <w:p w:rsidR="00E32F09" w:rsidRDefault="00550C26">
            <w:pPr>
              <w:spacing w:beforeAutospacing="1" w:afterAutospacing="1"/>
              <w:jc w:val="right"/>
            </w:pPr>
            <w:r>
              <w:rPr>
                <w:b/>
                <w:color w:val="000000"/>
              </w:rPr>
              <w:t>0</w:t>
            </w:r>
          </w:p>
        </w:tc>
      </w:tr>
    </w:tbl>
    <w:p w:rsidR="00E32F09" w:rsidRDefault="00550C2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46E5D">
        <w:rPr>
          <w:rFonts w:asciiTheme="minorHAnsi" w:hAnsiTheme="minorHAnsi"/>
          <w:noProof/>
        </w:rPr>
        <w:t>7</w:t>
      </w:r>
      <w:r>
        <w:rPr>
          <w:rFonts w:asciiTheme="minorHAnsi" w:hAnsiTheme="minorHAnsi"/>
        </w:rPr>
        <w:fldChar w:fldCharType="end"/>
      </w:r>
      <w:r>
        <w:rPr>
          <w:rFonts w:asciiTheme="minorHAnsi" w:hAnsiTheme="minorHAnsi"/>
        </w:rPr>
        <w:t xml:space="preserve"> – Number of Households Served</w:t>
      </w:r>
    </w:p>
    <w:p w:rsidR="00E32F09" w:rsidRDefault="00E32F09">
      <w:pPr>
        <w:widowControl w:val="0"/>
        <w:spacing w:line="204" w:lineRule="auto"/>
        <w:rPr>
          <w:b/>
          <w:sz w:val="24"/>
          <w:szCs w:val="24"/>
        </w:rPr>
      </w:pPr>
    </w:p>
    <w:p w:rsidR="00E32F09" w:rsidRDefault="00E32F09">
      <w:pPr>
        <w:widowControl w:val="0"/>
        <w:spacing w:line="204" w:lineRule="auto"/>
        <w:rPr>
          <w:b/>
          <w:sz w:val="24"/>
          <w:szCs w:val="24"/>
        </w:rPr>
      </w:pPr>
    </w:p>
    <w:p w:rsidR="00E32F09" w:rsidRDefault="00550C26">
      <w:pPr>
        <w:widowControl w:val="0"/>
        <w:spacing w:line="204" w:lineRule="auto"/>
        <w:rPr>
          <w:b/>
          <w:sz w:val="24"/>
          <w:szCs w:val="24"/>
        </w:rPr>
      </w:pPr>
      <w:r>
        <w:rPr>
          <w:b/>
          <w:sz w:val="24"/>
          <w:szCs w:val="24"/>
        </w:rPr>
        <w:t>Narrative Information</w:t>
      </w:r>
    </w:p>
    <w:p w:rsidR="00E32F09" w:rsidRDefault="00550C26">
      <w:pPr>
        <w:spacing w:beforeAutospacing="1" w:afterAutospacing="1"/>
        <w:rPr>
          <w:rFonts w:cs="Arial"/>
        </w:rPr>
      </w:pPr>
      <w:r>
        <w:rPr>
          <w:rFonts w:cs="Arial"/>
        </w:rPr>
        <w:br/>
        <w:t>The results listed above are only</w:t>
      </w:r>
      <w:r w:rsidR="008E7958">
        <w:rPr>
          <w:rFonts w:cs="Arial"/>
        </w:rPr>
        <w:t xml:space="preserve"> for the Home Improvement P</w:t>
      </w:r>
      <w:r>
        <w:rPr>
          <w:rFonts w:cs="Arial"/>
        </w:rPr>
        <w:t>rogram.</w:t>
      </w:r>
    </w:p>
    <w:p w:rsidR="00E32F09" w:rsidRDefault="00E32F09">
      <w:pPr>
        <w:rPr>
          <w:rFonts w:cs="Arial"/>
        </w:rPr>
      </w:pPr>
    </w:p>
    <w:p w:rsidR="00E32F09" w:rsidRDefault="00E32F09">
      <w:pPr>
        <w:pStyle w:val="Heading2"/>
        <w:pageBreakBefore/>
        <w:rPr>
          <w:rFonts w:ascii="Calibri" w:hAnsi="Calibri"/>
          <w:i w:val="0"/>
        </w:rPr>
        <w:sectPr w:rsidR="00E32F09" w:rsidSect="00493F19">
          <w:pgSz w:w="12240" w:h="15840" w:code="1"/>
          <w:pgMar w:top="1440" w:right="1440" w:bottom="1440" w:left="1440" w:header="720" w:footer="720"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docGrid w:linePitch="360"/>
        </w:sectPr>
      </w:pPr>
    </w:p>
    <w:bookmarkEnd w:id="1"/>
    <w:p w:rsidR="00E32F09" w:rsidRDefault="00550C26">
      <w:pPr>
        <w:pStyle w:val="Heading2"/>
        <w:pageBreakBefore/>
        <w:widowControl w:val="0"/>
        <w:rPr>
          <w:rFonts w:ascii="Calibri" w:hAnsi="Calibri"/>
          <w:i w:val="0"/>
        </w:rPr>
      </w:pPr>
      <w:r>
        <w:rPr>
          <w:rFonts w:ascii="Calibri" w:hAnsi="Calibri"/>
          <w:i w:val="0"/>
        </w:rPr>
        <w:t>CR-25 - Homeless and Other Special Needs 91.220(d, e); 91.320(d, e); 91.520(c)</w:t>
      </w:r>
    </w:p>
    <w:p w:rsidR="00E32F09" w:rsidRDefault="00550C26">
      <w:pPr>
        <w:keepNext/>
        <w:widowControl w:val="0"/>
        <w:rPr>
          <w:b/>
          <w:sz w:val="24"/>
          <w:szCs w:val="24"/>
        </w:rPr>
      </w:pPr>
      <w:r>
        <w:rPr>
          <w:b/>
          <w:sz w:val="24"/>
          <w:szCs w:val="24"/>
        </w:rPr>
        <w:t>Evaluate the jurisdiction’s progress in meeting its specific objectives for reducing and ending homelessness through:</w:t>
      </w:r>
    </w:p>
    <w:p w:rsidR="00E32F09" w:rsidRDefault="00550C26">
      <w:pPr>
        <w:widowControl w:val="0"/>
        <w:rPr>
          <w:b/>
          <w:sz w:val="24"/>
          <w:szCs w:val="24"/>
        </w:rPr>
      </w:pPr>
      <w:r>
        <w:rPr>
          <w:b/>
          <w:sz w:val="24"/>
          <w:szCs w:val="24"/>
        </w:rPr>
        <w:t>Reaching out to homeless persons (especially unsheltered persons) and assessing their individual needs</w:t>
      </w:r>
    </w:p>
    <w:p w:rsidR="00E32F09" w:rsidRDefault="00550C26">
      <w:pPr>
        <w:widowControl w:val="0"/>
        <w:spacing w:beforeAutospacing="1" w:afterAutospacing="1"/>
        <w:rPr>
          <w:rFonts w:cs="Arial"/>
        </w:rPr>
      </w:pPr>
      <w:r>
        <w:rPr>
          <w:rFonts w:cs="Arial"/>
        </w:rPr>
        <w:t>The Town of Union does not receive ESG funding. The town is a member of the regional Continuum of Care.</w:t>
      </w:r>
    </w:p>
    <w:p w:rsidR="00E32F09" w:rsidRDefault="00550C26">
      <w:pPr>
        <w:widowControl w:val="0"/>
        <w:rPr>
          <w:b/>
          <w:sz w:val="24"/>
          <w:szCs w:val="24"/>
        </w:rPr>
      </w:pPr>
      <w:r>
        <w:rPr>
          <w:b/>
          <w:sz w:val="24"/>
          <w:szCs w:val="24"/>
        </w:rPr>
        <w:t>Addressing the emergency shelter and transitional housing needs of homeless persons</w:t>
      </w:r>
    </w:p>
    <w:p w:rsidR="00E32F09" w:rsidRDefault="00550C26">
      <w:pPr>
        <w:widowControl w:val="0"/>
        <w:spacing w:beforeAutospacing="1" w:afterAutospacing="1"/>
        <w:rPr>
          <w:rFonts w:cs="Arial"/>
        </w:rPr>
      </w:pPr>
      <w:r>
        <w:rPr>
          <w:rFonts w:cs="Arial"/>
        </w:rPr>
        <w:t xml:space="preserve">Although the town does not receive ESG funds </w:t>
      </w:r>
      <w:r w:rsidR="00193518">
        <w:rPr>
          <w:rFonts w:cs="Arial"/>
        </w:rPr>
        <w:t>directly,</w:t>
      </w:r>
      <w:r>
        <w:rPr>
          <w:rFonts w:cs="Arial"/>
        </w:rPr>
        <w:t xml:space="preserve"> it has provided operational support for a teen transitional housing program through Catholic Charities. The town has also funded a number of capital improvements at a local shelter for victims of domestic violence utilizing CDBG funding.</w:t>
      </w:r>
    </w:p>
    <w:p w:rsidR="00E32F09" w:rsidRDefault="00550C26">
      <w:pPr>
        <w:widowControl w:val="0"/>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rsidR="00E32F09" w:rsidRDefault="00550C26">
      <w:pPr>
        <w:widowControl w:val="0"/>
        <w:spacing w:beforeAutospacing="1" w:afterAutospacing="1"/>
        <w:rPr>
          <w:rFonts w:cs="Arial"/>
        </w:rPr>
      </w:pPr>
      <w:r>
        <w:rPr>
          <w:rFonts w:cs="Arial"/>
        </w:rPr>
        <w:t>The Town of Union does not receive ESG funding. These activities are</w:t>
      </w:r>
      <w:r w:rsidR="00193518">
        <w:rPr>
          <w:rFonts w:cs="Arial"/>
        </w:rPr>
        <w:t> accomplished</w:t>
      </w:r>
      <w:r>
        <w:rPr>
          <w:rFonts w:cs="Arial"/>
        </w:rPr>
        <w:t xml:space="preserve"> through NY-511 Binghamton/Union Town/Broome, Otsego, </w:t>
      </w:r>
      <w:r w:rsidR="00193518">
        <w:rPr>
          <w:rFonts w:cs="Arial"/>
        </w:rPr>
        <w:t>and Chenango</w:t>
      </w:r>
      <w:r>
        <w:rPr>
          <w:rFonts w:cs="Arial"/>
        </w:rPr>
        <w:t xml:space="preserve"> Counties COC2.</w:t>
      </w:r>
    </w:p>
    <w:p w:rsidR="00E32F09" w:rsidRDefault="00550C26">
      <w:pPr>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E32F09" w:rsidRDefault="00550C26">
      <w:pPr>
        <w:widowControl w:val="0"/>
        <w:spacing w:beforeAutospacing="1" w:afterAutospacing="1"/>
        <w:rPr>
          <w:rFonts w:cs="Arial"/>
        </w:rPr>
      </w:pPr>
      <w:r>
        <w:rPr>
          <w:rFonts w:cs="Arial"/>
        </w:rPr>
        <w:t>The Town of Union does not receive ESG funding. These activities are</w:t>
      </w:r>
      <w:r w:rsidR="00193518">
        <w:rPr>
          <w:rFonts w:cs="Arial"/>
        </w:rPr>
        <w:t> accomplished</w:t>
      </w:r>
      <w:r>
        <w:rPr>
          <w:rFonts w:cs="Arial"/>
        </w:rPr>
        <w:t xml:space="preserve"> through NY-511 Binghamton/Union Town/Broome, Otsego, </w:t>
      </w:r>
      <w:r w:rsidR="00193518">
        <w:rPr>
          <w:rFonts w:cs="Arial"/>
        </w:rPr>
        <w:t>and Chenango</w:t>
      </w:r>
      <w:r>
        <w:rPr>
          <w:rFonts w:cs="Arial"/>
        </w:rPr>
        <w:t xml:space="preserve"> Counties COC2.</w:t>
      </w:r>
    </w:p>
    <w:p w:rsidR="00E32F09" w:rsidRDefault="00E32F09">
      <w:pPr>
        <w:widowControl w:val="0"/>
        <w:rPr>
          <w:rFonts w:cs="Arial"/>
          <w:szCs w:val="26"/>
        </w:rPr>
      </w:pPr>
    </w:p>
    <w:p w:rsidR="00E32F09" w:rsidRDefault="00550C26">
      <w:pPr>
        <w:pStyle w:val="Heading2"/>
        <w:pageBreakBefore/>
        <w:widowControl w:val="0"/>
        <w:rPr>
          <w:rFonts w:ascii="Calibri" w:hAnsi="Calibri"/>
          <w:i w:val="0"/>
        </w:rPr>
      </w:pPr>
      <w:r>
        <w:rPr>
          <w:rFonts w:ascii="Calibri" w:hAnsi="Calibri"/>
          <w:i w:val="0"/>
        </w:rPr>
        <w:t>CR-30 - Public Housing 91.220(h); 91.320(j)</w:t>
      </w:r>
    </w:p>
    <w:p w:rsidR="00E32F09" w:rsidRDefault="00550C26">
      <w:pPr>
        <w:keepNext/>
        <w:widowControl w:val="0"/>
        <w:rPr>
          <w:b/>
          <w:sz w:val="24"/>
          <w:szCs w:val="24"/>
        </w:rPr>
      </w:pPr>
      <w:r>
        <w:rPr>
          <w:b/>
          <w:sz w:val="24"/>
          <w:szCs w:val="24"/>
        </w:rPr>
        <w:t>Actions taken to address the needs of public housing</w:t>
      </w:r>
    </w:p>
    <w:p w:rsidR="00E32F09" w:rsidRDefault="00550C26">
      <w:pPr>
        <w:keepNext/>
        <w:widowControl w:val="0"/>
        <w:spacing w:beforeAutospacing="1" w:afterAutospacing="1"/>
        <w:rPr>
          <w:rFonts w:cs="Arial"/>
        </w:rPr>
      </w:pPr>
      <w:r>
        <w:rPr>
          <w:rFonts w:cs="Arial"/>
        </w:rPr>
        <w:t>Does Not Apply, there is no public housing in the Town of Union. The town's PHA (NY505) is Section 8 (Housing Voucher Program) only.</w:t>
      </w:r>
    </w:p>
    <w:p w:rsidR="00E32F09" w:rsidRDefault="00550C26">
      <w:pPr>
        <w:widowControl w:val="0"/>
        <w:rPr>
          <w:b/>
          <w:sz w:val="24"/>
          <w:szCs w:val="24"/>
        </w:rPr>
      </w:pPr>
      <w:r>
        <w:rPr>
          <w:b/>
          <w:sz w:val="24"/>
          <w:szCs w:val="24"/>
        </w:rPr>
        <w:t>Actions taken to encourage public housing residents to become more involved in management and participate in homeownership</w:t>
      </w:r>
    </w:p>
    <w:p w:rsidR="00E32F09" w:rsidRDefault="00550C26">
      <w:pPr>
        <w:widowControl w:val="0"/>
        <w:spacing w:beforeAutospacing="1" w:afterAutospacing="1"/>
        <w:rPr>
          <w:rFonts w:cs="Arial"/>
        </w:rPr>
      </w:pPr>
      <w:r>
        <w:rPr>
          <w:rFonts w:cs="Arial"/>
        </w:rPr>
        <w:t>Does Not Apply, there is no public housing in the Town of Union. The town's PHA (NY505) is Section 8 (Housing Voucher Program) only.</w:t>
      </w:r>
    </w:p>
    <w:p w:rsidR="00E32F09" w:rsidRDefault="00550C26">
      <w:pPr>
        <w:widowControl w:val="0"/>
        <w:rPr>
          <w:b/>
          <w:sz w:val="24"/>
          <w:szCs w:val="24"/>
        </w:rPr>
      </w:pPr>
      <w:r>
        <w:rPr>
          <w:b/>
          <w:sz w:val="24"/>
          <w:szCs w:val="24"/>
        </w:rPr>
        <w:t>Actions taken to provide assistance to troubled PHAs</w:t>
      </w:r>
    </w:p>
    <w:p w:rsidR="00E32F09" w:rsidRDefault="00550C26">
      <w:pPr>
        <w:widowControl w:val="0"/>
        <w:spacing w:beforeAutospacing="1" w:afterAutospacing="1"/>
        <w:rPr>
          <w:rFonts w:cs="Arial"/>
        </w:rPr>
      </w:pPr>
      <w:r>
        <w:rPr>
          <w:rFonts w:cs="Arial"/>
        </w:rPr>
        <w:t>The town's PHA (NY505) is Housing Choice Voucher program only and is not rated as Troubled.  The</w:t>
      </w:r>
      <w:r w:rsidR="003767F8">
        <w:rPr>
          <w:rFonts w:cs="Arial"/>
        </w:rPr>
        <w:t xml:space="preserve"> most recent SEMAP scoring (202</w:t>
      </w:r>
      <w:r w:rsidR="00BA33FE">
        <w:rPr>
          <w:rFonts w:cs="Arial"/>
        </w:rPr>
        <w:t>1</w:t>
      </w:r>
      <w:r>
        <w:rPr>
          <w:rFonts w:cs="Arial"/>
        </w:rPr>
        <w:t>) rated the town as a "High Performer".</w:t>
      </w:r>
    </w:p>
    <w:p w:rsidR="00E32F09" w:rsidRDefault="00550C26">
      <w:pPr>
        <w:pStyle w:val="Heading2"/>
        <w:pageBreakBefore/>
        <w:widowControl w:val="0"/>
        <w:rPr>
          <w:rFonts w:ascii="Calibri" w:hAnsi="Calibri"/>
          <w:i w:val="0"/>
        </w:rPr>
      </w:pPr>
      <w:r>
        <w:rPr>
          <w:rFonts w:ascii="Calibri" w:hAnsi="Calibri"/>
          <w:i w:val="0"/>
        </w:rPr>
        <w:t>CR-35 - Other Actions 91.220(j)-(k); 91.320(</w:t>
      </w:r>
      <w:proofErr w:type="spellStart"/>
      <w:r>
        <w:rPr>
          <w:rFonts w:ascii="Calibri" w:hAnsi="Calibri"/>
          <w:i w:val="0"/>
        </w:rPr>
        <w:t>i</w:t>
      </w:r>
      <w:proofErr w:type="spellEnd"/>
      <w:r>
        <w:rPr>
          <w:rFonts w:ascii="Calibri" w:hAnsi="Calibri"/>
          <w:i w:val="0"/>
        </w:rPr>
        <w:t>)-(j)</w:t>
      </w:r>
    </w:p>
    <w:p w:rsidR="00E32F09" w:rsidRDefault="00550C26">
      <w:pPr>
        <w:widowControl w:val="0"/>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w:t>
      </w:r>
      <w:proofErr w:type="spellStart"/>
      <w:r>
        <w:rPr>
          <w:b/>
          <w:sz w:val="24"/>
          <w:szCs w:val="24"/>
        </w:rPr>
        <w:t>i</w:t>
      </w:r>
      <w:proofErr w:type="spellEnd"/>
      <w:r>
        <w:rPr>
          <w:b/>
          <w:sz w:val="24"/>
          <w:szCs w:val="24"/>
        </w:rPr>
        <w:t>)</w:t>
      </w:r>
    </w:p>
    <w:p w:rsidR="00E32F09" w:rsidRDefault="00550C26">
      <w:pPr>
        <w:widowControl w:val="0"/>
        <w:spacing w:beforeAutospacing="1" w:afterAutospacing="1"/>
        <w:rPr>
          <w:b/>
          <w:sz w:val="24"/>
          <w:szCs w:val="24"/>
        </w:rPr>
      </w:pPr>
      <w:r>
        <w:rPr>
          <w:rFonts w:cs="Arial"/>
        </w:rPr>
        <w:t xml:space="preserve">A full update of the Analysis of Impediments (AI) was completed in October of 2014.  This report included outreach to community agencies, lending institutions, and the public, as well as a thorough analysis of census data, Home Mortgage Disclosure Act (HMDA) data from banks, and local housing and land use policies. </w:t>
      </w:r>
      <w:r>
        <w:rPr>
          <w:rFonts w:cs="Arial"/>
        </w:rPr>
        <w:br/>
        <w:t> </w:t>
      </w:r>
      <w:r>
        <w:rPr>
          <w:rFonts w:cs="Arial"/>
        </w:rPr>
        <w:br/>
        <w:t>The town did not receive any suggestions, recommendations, or complaints from the public regarding fair housing choice.  Analysis of HMDA data did not indicate any impediments to fair housing choice.  No federal, state, or local fair housing/human rights agencies had any open complaints on file for the Town of Union.  The town has not received notice of any complaints filed since the 2014 AI update.</w:t>
      </w:r>
      <w:r>
        <w:rPr>
          <w:rFonts w:cs="Arial"/>
        </w:rPr>
        <w:br/>
        <w:t> </w:t>
      </w:r>
      <w:r>
        <w:rPr>
          <w:rFonts w:cs="Arial"/>
        </w:rPr>
        <w:br/>
        <w:t xml:space="preserve">The Analysis of Impediments (AI) identified many programs and activities in place to further fair housing and promote affordable housing opportunities.  These activities involve partnerships among the town, financial institutions, and community organizations. </w:t>
      </w:r>
      <w:r>
        <w:rPr>
          <w:rFonts w:cs="Arial"/>
        </w:rPr>
        <w:br/>
        <w:t> </w:t>
      </w:r>
      <w:r>
        <w:rPr>
          <w:rFonts w:cs="Arial"/>
        </w:rPr>
        <w:br/>
        <w:t xml:space="preserve">The town’s efforts to promote fair housing opportunities through the use of federal funding include, but are not limited to, housing rehabilitation programs, first-time homebuyer programs, public services, and neighborhood revitalization activities.  These programs are aimed at assisting low and moderate-income residents with housing and related needs. </w:t>
      </w:r>
      <w:r>
        <w:rPr>
          <w:rFonts w:cs="Arial"/>
        </w:rPr>
        <w:br/>
        <w:t> </w:t>
      </w:r>
      <w:r>
        <w:rPr>
          <w:rFonts w:cs="Arial"/>
        </w:rPr>
        <w:br/>
        <w:t>The Town of Union’s Department of Planning, in its capacity as the fair housing office, conducts outreach regarding fair housing issues and affordable housing opportunities.  Outreach efforts may include mailings to community groups and interested parties, media advertising, presentations to community groups, and participation in local trade shows, neighborhood town meetings, local conferences, and workshops.  The AI included an analysis of the town’s property tax policies and zoning ordinance, neither of which were determined to present impediments to fair housing.  As part of the study, the town also examined the composition of the boards and committees that work with issues relating to housing and community development.  These groups were found to consist of a diverse representation of community members.</w:t>
      </w:r>
      <w:r>
        <w:rPr>
          <w:rFonts w:cs="Arial"/>
        </w:rPr>
        <w:br/>
        <w:t> </w:t>
      </w:r>
      <w:r>
        <w:rPr>
          <w:rFonts w:cs="Arial"/>
        </w:rPr>
        <w:br/>
        <w:t>The Town of Union continues to publicize the importance of fair housing in public service announcements, advertisements, and in flyers used as part of the Section 8 briefing packa</w:t>
      </w:r>
      <w:r w:rsidR="008077ED">
        <w:rPr>
          <w:rFonts w:cs="Arial"/>
        </w:rPr>
        <w:t>ge.  Each year, approximately 70</w:t>
      </w:r>
      <w:r>
        <w:rPr>
          <w:rFonts w:cs="Arial"/>
        </w:rPr>
        <w:t xml:space="preserve"> Section 8 families receive such counseling.  The Town of Union and the Villages of Endicott and Johnson City have taken positive steps to foster access for the disabled by extensive remodeling of public buildings and through the provision of services for people with hearing and vision disabilities.</w:t>
      </w:r>
      <w:r>
        <w:rPr>
          <w:rFonts w:cs="Arial"/>
        </w:rPr>
        <w:br/>
        <w:t> </w:t>
      </w:r>
      <w:r>
        <w:rPr>
          <w:rFonts w:cs="Arial"/>
        </w:rPr>
        <w:br/>
        <w:t>While there are few actions that can realistically eliminate all barriers to affordable housing, the town is making an effort to ameliorate conditions that can prevent residents of the town from obtaining quality, affordable shelter.  These include the following:</w:t>
      </w:r>
      <w:r>
        <w:rPr>
          <w:rFonts w:cs="Arial"/>
        </w:rPr>
        <w:br/>
        <w:t> </w:t>
      </w:r>
      <w:r>
        <w:rPr>
          <w:rFonts w:cs="Arial"/>
        </w:rPr>
        <w:br/>
        <w:t xml:space="preserve">• </w:t>
      </w:r>
      <w:proofErr w:type="gramStart"/>
      <w:r>
        <w:rPr>
          <w:rFonts w:cs="Arial"/>
        </w:rPr>
        <w:t>The</w:t>
      </w:r>
      <w:proofErr w:type="gramEnd"/>
      <w:r>
        <w:rPr>
          <w:rFonts w:cs="Arial"/>
        </w:rPr>
        <w:t xml:space="preserve"> town will continue its efforts to initiate and adopt regulations designed to eliminate barriers to the creation of affordable housing.</w:t>
      </w:r>
      <w:r>
        <w:rPr>
          <w:rFonts w:cs="Arial"/>
        </w:rPr>
        <w:br/>
        <w:t> </w:t>
      </w:r>
      <w:r>
        <w:rPr>
          <w:rFonts w:cs="Arial"/>
        </w:rPr>
        <w:br/>
        <w:t>• The town will continue to encourage banks to participate in the Small Business Administration's Micro-Loan Demonstration Program and will continue to try to provide financial opportunities for local developers and builders.</w:t>
      </w:r>
      <w:r>
        <w:rPr>
          <w:rFonts w:cs="Arial"/>
        </w:rPr>
        <w:br/>
        <w:t> </w:t>
      </w:r>
      <w:r>
        <w:rPr>
          <w:rFonts w:cs="Arial"/>
        </w:rPr>
        <w:br/>
        <w:t>• Housing counseling services will continue to be provided to first time homebuyers to ensure equal access to all available units throughout the town.</w:t>
      </w:r>
      <w:r>
        <w:rPr>
          <w:rFonts w:cs="Arial"/>
        </w:rPr>
        <w:br/>
      </w:r>
      <w:r>
        <w:rPr>
          <w:rFonts w:cs="Arial"/>
        </w:rPr>
        <w:br/>
      </w:r>
      <w:r>
        <w:rPr>
          <w:b/>
          <w:sz w:val="24"/>
          <w:szCs w:val="24"/>
        </w:rPr>
        <w:t>Actions taken to address obstacles to meeting underserved needs.  91.220(k); 91.320(j)</w:t>
      </w:r>
    </w:p>
    <w:p w:rsidR="00E32F09" w:rsidRDefault="00550C26">
      <w:pPr>
        <w:widowControl w:val="0"/>
        <w:spacing w:beforeAutospacing="1" w:afterAutospacing="1"/>
        <w:rPr>
          <w:b/>
          <w:sz w:val="24"/>
          <w:szCs w:val="24"/>
        </w:rPr>
      </w:pPr>
      <w:r>
        <w:rPr>
          <w:rFonts w:cs="Arial"/>
        </w:rPr>
        <w:t>Some of the barriers to homeownership that were addressed in the five-year and annual action plans include poor credit histories, lack of down</w:t>
      </w:r>
      <w:r w:rsidR="003767F8">
        <w:rPr>
          <w:rFonts w:cs="Arial"/>
        </w:rPr>
        <w:t xml:space="preserve"> payment/closing cost funds,</w:t>
      </w:r>
      <w:r>
        <w:rPr>
          <w:rFonts w:cs="Arial"/>
        </w:rPr>
        <w:t xml:space="preserve"> inability to save for future repairs</w:t>
      </w:r>
      <w:r w:rsidR="003767F8">
        <w:rPr>
          <w:rFonts w:cs="Arial"/>
        </w:rPr>
        <w:t>, Federal interest rate increases, lack of suitable housing stock and home buyers being priced out of the markets</w:t>
      </w:r>
      <w:r>
        <w:rPr>
          <w:rFonts w:cs="Arial"/>
        </w:rPr>
        <w:t>.  The town’s first time homebuyer program addresses these potential barriers by providing funds for closing costs, rehabilitation, and in some cases, subsidies to lower the purchase price of homes.  The town also recognizes the importance of homeowner counseling, not solely for households with credit problems, but also for all potential homebuyers as a tool to understanding the responsibilities of homeownersh</w:t>
      </w:r>
      <w:r w:rsidR="003A294E">
        <w:rPr>
          <w:rFonts w:cs="Arial"/>
        </w:rPr>
        <w:t>ip. For the upcoming FFY</w:t>
      </w:r>
      <w:r>
        <w:rPr>
          <w:rFonts w:cs="Arial"/>
        </w:rPr>
        <w:t>, Metro Interfaith was awarded CDBG funds by HUD as a certified housing counseling agency to provide counseling services to participants in the town’s homeownership program.</w:t>
      </w:r>
      <w:r w:rsidR="003767F8">
        <w:rPr>
          <w:rFonts w:cs="Arial"/>
        </w:rPr>
        <w:t xml:space="preserve"> Al</w:t>
      </w:r>
      <w:r w:rsidR="003A294E">
        <w:rPr>
          <w:rFonts w:cs="Arial"/>
        </w:rPr>
        <w:t>though they have just recently re-opened after NYS and Federal</w:t>
      </w:r>
      <w:r w:rsidR="003767F8">
        <w:rPr>
          <w:rFonts w:cs="Arial"/>
        </w:rPr>
        <w:t xml:space="preserve"> COVID-19 restrictions</w:t>
      </w:r>
      <w:r w:rsidR="003A294E">
        <w:rPr>
          <w:rFonts w:cs="Arial"/>
        </w:rPr>
        <w:t xml:space="preserve"> were lifted</w:t>
      </w:r>
      <w:r w:rsidR="003767F8">
        <w:rPr>
          <w:rFonts w:cs="Arial"/>
        </w:rPr>
        <w:t>, they continued counseling through online applications.</w:t>
      </w:r>
      <w:r>
        <w:rPr>
          <w:rFonts w:cs="Arial"/>
        </w:rPr>
        <w:t>  Credit counseling agencies have played a vital role in special homeownership programs developed by the town.  The town has also been able to minimize the impact of the national housing crisis on CDBG funded first time home buyers by not allowing the use of sub-prime mortgages.</w:t>
      </w:r>
      <w:r>
        <w:rPr>
          <w:rFonts w:cs="Arial"/>
        </w:rPr>
        <w:br/>
      </w:r>
      <w:r>
        <w:rPr>
          <w:rFonts w:cs="Arial"/>
        </w:rPr>
        <w:br/>
      </w:r>
      <w:r>
        <w:rPr>
          <w:b/>
          <w:sz w:val="24"/>
          <w:szCs w:val="24"/>
        </w:rPr>
        <w:t>Actions taken to reduce lead-based paint hazards. 91.220(k); 91.320(j)</w:t>
      </w:r>
    </w:p>
    <w:p w:rsidR="00E32F09" w:rsidRDefault="00550C26">
      <w:pPr>
        <w:widowControl w:val="0"/>
        <w:spacing w:beforeAutospacing="1" w:afterAutospacing="1"/>
        <w:rPr>
          <w:rFonts w:cs="Arial"/>
        </w:rPr>
      </w:pPr>
      <w:r>
        <w:rPr>
          <w:rFonts w:cs="Arial"/>
        </w:rPr>
        <w:t xml:space="preserve">During the program year, hundreds of visual assessments were performed by town inspectors under the Section 8 Housing Choice Voucher, First Time Home Buyer, and Home Improvement programs.  The town also distributes the pamphlet Protect Your Family </w:t>
      </w:r>
      <w:proofErr w:type="gramStart"/>
      <w:r>
        <w:rPr>
          <w:rFonts w:cs="Arial"/>
        </w:rPr>
        <w:t>From Lead In</w:t>
      </w:r>
      <w:proofErr w:type="gramEnd"/>
      <w:r>
        <w:rPr>
          <w:rFonts w:cs="Arial"/>
        </w:rPr>
        <w:t xml:space="preserve"> Your Home to all Section 8, Home Improvement, and First Time Home Buyer program applicants. The town also wrote letters of support for a successful lead prevention grant submitted by the Broome County </w:t>
      </w:r>
      <w:proofErr w:type="spellStart"/>
      <w:r>
        <w:rPr>
          <w:rFonts w:cs="Arial"/>
        </w:rPr>
        <w:t>Heath</w:t>
      </w:r>
      <w:proofErr w:type="spellEnd"/>
      <w:r>
        <w:rPr>
          <w:rFonts w:cs="Arial"/>
        </w:rPr>
        <w:t xml:space="preserve"> Department.</w:t>
      </w:r>
    </w:p>
    <w:p w:rsidR="00E32F09" w:rsidRDefault="00550C26">
      <w:pPr>
        <w:widowControl w:val="0"/>
        <w:rPr>
          <w:b/>
          <w:sz w:val="24"/>
          <w:szCs w:val="24"/>
        </w:rPr>
      </w:pPr>
      <w:r>
        <w:rPr>
          <w:b/>
          <w:sz w:val="24"/>
          <w:szCs w:val="24"/>
        </w:rPr>
        <w:t>Actions taken to reduce the number of poverty-level families. 91.220(k); 91.320(j)</w:t>
      </w:r>
    </w:p>
    <w:p w:rsidR="00E32F09" w:rsidRDefault="00550C26">
      <w:pPr>
        <w:widowControl w:val="0"/>
        <w:spacing w:beforeAutospacing="1" w:afterAutospacing="1"/>
        <w:rPr>
          <w:b/>
          <w:sz w:val="24"/>
          <w:szCs w:val="24"/>
        </w:rPr>
      </w:pPr>
      <w:r>
        <w:rPr>
          <w:rFonts w:cs="Arial"/>
        </w:rPr>
        <w:t>All programs and priorities described within the five-year Consolidated Plan and undertaken during the past fiscal year are consistent with an overall goal to reduce poverty and to develop a viable urban community by providing decent housing, a suitable living environment, and expanded economic opportunities principally for low and very low income persons.  Some specific programs that are directly aimed at reducing poverty include the following:</w:t>
      </w:r>
      <w:r>
        <w:rPr>
          <w:rFonts w:cs="Arial"/>
        </w:rPr>
        <w:br/>
        <w:t> </w:t>
      </w:r>
      <w:r>
        <w:rPr>
          <w:rFonts w:cs="Arial"/>
        </w:rPr>
        <w:br/>
        <w:t xml:space="preserve">a).  Housing Programs:  All of the town’s existing housing programs assist low and very low income persons with housing needs, including such needs as rental assistance (Section 8 Housing Choice Voucher program), housing rehabilitation (for low income owners), and first time homebuyer assistance.  In addition, several housing programs (i.e. First Ward Action Council Home Repair for </w:t>
      </w:r>
      <w:proofErr w:type="gramStart"/>
      <w:r>
        <w:rPr>
          <w:rFonts w:cs="Arial"/>
        </w:rPr>
        <w:t>Seniors</w:t>
      </w:r>
      <w:proofErr w:type="gramEnd"/>
      <w:r>
        <w:rPr>
          <w:rFonts w:cs="Arial"/>
        </w:rPr>
        <w:t>) assist special needs low-income populations such as elderly populations.</w:t>
      </w:r>
      <w:r>
        <w:rPr>
          <w:rFonts w:cs="Arial"/>
        </w:rPr>
        <w:br/>
        <w:t> </w:t>
      </w:r>
      <w:r>
        <w:rPr>
          <w:rFonts w:cs="Arial"/>
        </w:rPr>
        <w:br/>
        <w:t>All of the above programs help ease housing costs of low-income households.</w:t>
      </w:r>
      <w:r>
        <w:rPr>
          <w:rFonts w:cs="Arial"/>
        </w:rPr>
        <w:br/>
        <w:t> </w:t>
      </w:r>
      <w:r>
        <w:rPr>
          <w:rFonts w:cs="Arial"/>
        </w:rPr>
        <w:br/>
        <w:t>b).</w:t>
      </w:r>
      <w:proofErr w:type="gramStart"/>
      <w:r>
        <w:rPr>
          <w:rFonts w:cs="Arial"/>
        </w:rPr>
        <w:t>  Public</w:t>
      </w:r>
      <w:proofErr w:type="gramEnd"/>
      <w:r>
        <w:rPr>
          <w:rFonts w:cs="Arial"/>
        </w:rPr>
        <w:t xml:space="preserve"> Service Programs: The town dedicates a portion of its CDBG funding to support a wide variety of public service organizations.  Agencies receiving these funds help meet critical needs of low and very low-income persons. This year, these services included childcare, elderly services, job counseling and employment programs, youth development, and assistance to persons with disabilities.  All CDBG funded programs provide essential services that encourage self-sufficiency.</w:t>
      </w:r>
      <w:r>
        <w:rPr>
          <w:rFonts w:cs="Arial"/>
        </w:rPr>
        <w:br/>
        <w:t> </w:t>
      </w:r>
      <w:r>
        <w:rPr>
          <w:rFonts w:cs="Arial"/>
        </w:rPr>
        <w:br/>
        <w:t>c).  Economic Development: A primary objective of all economic development activities funded by the Town of Union through the use of CDBG funds is the retention and/or creation of jobs for low-income persons.  Any CDBG assistance to businesses requires employment opportunities for low-income persons, thus serving to aid in the reduction of poverty within the community.  Job creation/retention accomplishments for the past fiscal year are provided in the narrative on economic development, presented earlier in this report.</w:t>
      </w:r>
      <w:r>
        <w:rPr>
          <w:rFonts w:cs="Arial"/>
        </w:rPr>
        <w:br/>
        <w:t> </w:t>
      </w:r>
      <w:r>
        <w:rPr>
          <w:rFonts w:cs="Arial"/>
        </w:rPr>
        <w:br/>
        <w:t>d).  Homeless Assistance: As part of the Town of Union's efforts to reduce poverty and homelessness, the town provides financial assistance to community agencies that serve the homeless and at-risk populations through the provision of emergency and essential services as well as services aimed at reducing and preventing homelessness.  The town also supported the efforts of service providers that emphasize a comprehensive approach to addressing problems associated with homelessness and poverty.</w:t>
      </w:r>
      <w:r>
        <w:rPr>
          <w:rFonts w:cs="Arial"/>
        </w:rPr>
        <w:br/>
      </w:r>
      <w:r>
        <w:rPr>
          <w:rFonts w:cs="Arial"/>
        </w:rPr>
        <w:br/>
      </w:r>
      <w:r>
        <w:rPr>
          <w:b/>
          <w:sz w:val="24"/>
          <w:szCs w:val="24"/>
        </w:rPr>
        <w:t>Actions taken to develop institutional structure. 91.220(k); 91.320(j)</w:t>
      </w:r>
    </w:p>
    <w:p w:rsidR="00E32F09" w:rsidRDefault="00550C26">
      <w:pPr>
        <w:widowControl w:val="0"/>
        <w:spacing w:beforeAutospacing="1" w:afterAutospacing="1"/>
        <w:rPr>
          <w:rFonts w:cs="Arial"/>
        </w:rPr>
      </w:pPr>
      <w:r>
        <w:rPr>
          <w:rFonts w:cs="Arial"/>
        </w:rPr>
        <w:t>Although the Town of Union's primary means of carrying out its housing and community development plan is through the use of federal funding it receives, there also is a critical reliance on other community organizations to carry out this plan.  These organizations include non-profit agencies, banks, private industry, and other levels of government, including the state.</w:t>
      </w:r>
      <w:r>
        <w:rPr>
          <w:rFonts w:cs="Arial"/>
        </w:rPr>
        <w:br/>
        <w:t> </w:t>
      </w:r>
      <w:r>
        <w:rPr>
          <w:rFonts w:cs="Arial"/>
        </w:rPr>
        <w:br/>
        <w:t>Most of the programs outlined by the town in the five-year plan that address community needs with respect to housing, homelessness, economic development, public infrastructure, and public services are administered by the Town of Union.  Programs are staffed and operated by either the Town of Union or, in some cases, non-profit community organizations that receive funding from the town.  While the town is successful in the programs that it administers through federal funding, it recognizes that the needs within the community are greater than it can address.  Therefore, many of the priorities identified in the Consolidated Plan require the commitment and assistance of other community organizations.</w:t>
      </w:r>
      <w:r>
        <w:rPr>
          <w:rFonts w:cs="Arial"/>
        </w:rPr>
        <w:br/>
        <w:t> </w:t>
      </w:r>
      <w:r>
        <w:rPr>
          <w:rFonts w:cs="Arial"/>
        </w:rPr>
        <w:br/>
        <w:t>The Town of Union continues to enjoy well-established and productive working relationships with many community agencies, including non-profit organizations, regional and local planning agencies, the private sector, and other levels of government, including adjacent municipalities and the state.  These relationships have resulted in many innovative partnerships to address community needs, several of which are mentioned in the Consolidated and Annual Plans.  In addition to collaborative efforts involving the town, there have been a number of collaborative initiatives facilitated by other organizations within the community.  There does not appear to be any gaps in institutional structure at this time.</w:t>
      </w:r>
    </w:p>
    <w:p w:rsidR="00E32F09" w:rsidRDefault="00550C26">
      <w:pPr>
        <w:widowControl w:val="0"/>
        <w:rPr>
          <w:b/>
          <w:sz w:val="24"/>
          <w:szCs w:val="24"/>
        </w:rPr>
      </w:pPr>
      <w:r>
        <w:rPr>
          <w:b/>
          <w:sz w:val="24"/>
          <w:szCs w:val="24"/>
        </w:rPr>
        <w:t>Actions taken to enhance coordination between public and private housing and social service agencies. 91.220(k); 91.320(j)</w:t>
      </w:r>
    </w:p>
    <w:p w:rsidR="00E32F09" w:rsidRDefault="00550C26">
      <w:pPr>
        <w:widowControl w:val="0"/>
        <w:spacing w:beforeAutospacing="1" w:afterAutospacing="1"/>
        <w:rPr>
          <w:rFonts w:cs="Arial"/>
        </w:rPr>
      </w:pPr>
      <w:r>
        <w:rPr>
          <w:rFonts w:cs="Arial"/>
        </w:rPr>
        <w:t>The town continues to collaborate with private and public housing, health, and social service agencies on an as needed basis.</w:t>
      </w:r>
    </w:p>
    <w:p w:rsidR="00E32F09" w:rsidRDefault="00550C26">
      <w:pPr>
        <w:widowControl w:val="0"/>
        <w:rPr>
          <w:b/>
          <w:sz w:val="24"/>
          <w:szCs w:val="24"/>
        </w:rPr>
      </w:pPr>
      <w:r>
        <w:rPr>
          <w:b/>
          <w:sz w:val="24"/>
          <w:szCs w:val="24"/>
        </w:rPr>
        <w:t>Identify actions taken to overcome the effects of any impediments identified in the jurisdictions analysis of impediments to fair housing choice.  91.520(a)</w:t>
      </w:r>
    </w:p>
    <w:p w:rsidR="00E32F09" w:rsidRDefault="00550C26">
      <w:pPr>
        <w:widowControl w:val="0"/>
        <w:spacing w:beforeAutospacing="1" w:afterAutospacing="1"/>
        <w:rPr>
          <w:rFonts w:cs="Arial"/>
        </w:rPr>
      </w:pPr>
      <w:r>
        <w:rPr>
          <w:rFonts w:cs="Arial"/>
        </w:rPr>
        <w:t>During the 2014 update of the town's Analysis of Impediments to Fair Housing an analysis of recent American Community Survey data and most recent Home Mortgage Disclosure Act (HMDA) reports found no impediments to fair housing choice.  The lack of discrimination complaints filed locally or with New York State or the federal government suggests a lack of housing choice limitations.  There were no recommendations concerning fair housing choice problems or issues provided by the service agencies or the public.</w:t>
      </w:r>
      <w:r>
        <w:rPr>
          <w:rFonts w:cs="Arial"/>
        </w:rPr>
        <w:br/>
        <w:t> </w:t>
      </w:r>
      <w:r>
        <w:rPr>
          <w:rFonts w:cs="Arial"/>
        </w:rPr>
        <w:br/>
      </w:r>
      <w:r>
        <w:rPr>
          <w:rFonts w:cs="Arial"/>
          <w:b/>
          <w:i/>
          <w:u w:val="single"/>
        </w:rPr>
        <w:t>Actions to Address Impediments</w:t>
      </w:r>
      <w:r>
        <w:rPr>
          <w:rFonts w:cs="Arial"/>
          <w:i/>
          <w:u w:val="single"/>
        </w:rPr>
        <w:t xml:space="preserve"> </w:t>
      </w:r>
      <w:r>
        <w:rPr>
          <w:rFonts w:cs="Arial"/>
        </w:rPr>
        <w:br/>
        <w:t>The Town of Union has taken a number of steps to ensure that its programs and actions are administered and advertised in a manner that encourages wide participation by all segments of the population.  The town has undertaken specific housing programs to promote wider housing choice by providing financial assistance for owner occupied housing rehabilitation and mortgage assistance to purchase housing.  The rehabilitation program incorporates necessary repairs to improve the housing stock and to make the units accessible to the disabled population.  The rental assistance program has been administered in a manner to allow the widest choice of housing and to allow easy access to employment, education, and services.</w:t>
      </w:r>
    </w:p>
    <w:p w:rsidR="00E32F09" w:rsidRDefault="00550C26">
      <w:pPr>
        <w:pStyle w:val="Heading2"/>
        <w:pageBreakBefore/>
        <w:widowControl w:val="0"/>
        <w:rPr>
          <w:rFonts w:ascii="Calibri" w:hAnsi="Calibri"/>
          <w:i w:val="0"/>
        </w:rPr>
      </w:pPr>
      <w:r>
        <w:rPr>
          <w:rFonts w:ascii="Calibri" w:hAnsi="Calibri"/>
          <w:i w:val="0"/>
        </w:rPr>
        <w:t>CR-40 - Monitoring 91.220 and 91.230</w:t>
      </w:r>
    </w:p>
    <w:p w:rsidR="00E32F09" w:rsidRDefault="00550C26">
      <w:pPr>
        <w:widowControl w:val="0"/>
        <w:rPr>
          <w:b/>
          <w:sz w:val="24"/>
          <w:szCs w:val="24"/>
        </w:rPr>
      </w:pPr>
      <w:r>
        <w:rPr>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rsidR="00E32F09" w:rsidRDefault="00550C26">
      <w:pPr>
        <w:widowControl w:val="0"/>
        <w:spacing w:beforeAutospacing="1" w:afterAutospacing="1"/>
        <w:rPr>
          <w:rFonts w:cs="Arial"/>
        </w:rPr>
      </w:pPr>
      <w:r>
        <w:rPr>
          <w:rFonts w:cs="Arial"/>
        </w:rPr>
        <w:t xml:space="preserve">The Lead Agency routinely monitors program activity.  After each drawdown of funds a reconciliation process involving the town Comptroller’s Office takes place.  A review is also completed to monitor the timeliness of expenditures requirement.  The town’s timeliness ratios were calculated on </w:t>
      </w:r>
      <w:r w:rsidR="00206A5E" w:rsidRPr="00206A5E">
        <w:rPr>
          <w:rFonts w:cs="Arial"/>
        </w:rPr>
        <w:t>August 2</w:t>
      </w:r>
      <w:r w:rsidR="008E5ACA" w:rsidRPr="00206A5E">
        <w:rPr>
          <w:rFonts w:cs="Arial"/>
        </w:rPr>
        <w:t>, 2022</w:t>
      </w:r>
      <w:r w:rsidRPr="00206A5E">
        <w:rPr>
          <w:rFonts w:cs="Arial"/>
        </w:rPr>
        <w:t xml:space="preserve"> (</w:t>
      </w:r>
      <w:r w:rsidR="00206A5E" w:rsidRPr="00206A5E">
        <w:rPr>
          <w:rFonts w:cs="Arial"/>
        </w:rPr>
        <w:t>0.91 Unadjusted and 1.47</w:t>
      </w:r>
      <w:r w:rsidRPr="00206A5E">
        <w:rPr>
          <w:rFonts w:cs="Arial"/>
        </w:rPr>
        <w:t xml:space="preserve"> Adjusted</w:t>
      </w:r>
      <w:r>
        <w:rPr>
          <w:rFonts w:cs="Arial"/>
        </w:rPr>
        <w:t xml:space="preserve">) and the town was in compliance with both the Unadjusted and Adjusted ratios. The high level of funding in the LDC revolving loan fund remains a critical concern now that HUD is testing both the Unadjusted and Adjusted balances for compliance with timeliness of expenditure requirements. Reviews are also undertaken to review the 70% Low/Mod benefit requirement. </w:t>
      </w:r>
      <w:r>
        <w:rPr>
          <w:rFonts w:cs="Arial"/>
        </w:rPr>
        <w:br/>
        <w:t> </w:t>
      </w:r>
      <w:r>
        <w:rPr>
          <w:rFonts w:cs="Arial"/>
        </w:rPr>
        <w:br/>
        <w:t>Construction activities are also monitored for compliance with Davis Bacon Act (prevailing wage) requirements.  Prevailing wage rate schedules and Section 3 data collection forms in each bid package.  Contractors submit certified payrolls (Form WH-347) that may be randomly supplemented with field interviews.</w:t>
      </w:r>
      <w:r>
        <w:rPr>
          <w:rFonts w:cs="Arial"/>
        </w:rPr>
        <w:br/>
        <w:t> </w:t>
      </w:r>
      <w:r>
        <w:rPr>
          <w:rFonts w:cs="Arial"/>
        </w:rPr>
        <w:br/>
      </w:r>
      <w:r>
        <w:rPr>
          <w:rFonts w:cs="Arial"/>
          <w:b/>
          <w:i/>
        </w:rPr>
        <w:t>Documentation of National Objective:</w:t>
      </w:r>
    </w:p>
    <w:p w:rsidR="00E32F09" w:rsidRDefault="00550C26">
      <w:pPr>
        <w:widowControl w:val="0"/>
        <w:spacing w:beforeAutospacing="1" w:afterAutospacing="1"/>
        <w:rPr>
          <w:rFonts w:cs="Arial"/>
        </w:rPr>
      </w:pPr>
      <w:r>
        <w:rPr>
          <w:rFonts w:cs="Arial"/>
          <w:b/>
          <w:i/>
          <w:u w:val="single"/>
        </w:rPr>
        <w:t>Direct Benefit:</w:t>
      </w:r>
      <w:r>
        <w:rPr>
          <w:rFonts w:cs="Arial"/>
        </w:rPr>
        <w:t xml:space="preserve"> Subrecipients are asked if and how client income is verified.  The </w:t>
      </w:r>
      <w:proofErr w:type="spellStart"/>
      <w:r>
        <w:rPr>
          <w:rFonts w:cs="Arial"/>
        </w:rPr>
        <w:t>subrecipient</w:t>
      </w:r>
      <w:proofErr w:type="spellEnd"/>
      <w:r>
        <w:rPr>
          <w:rFonts w:cs="Arial"/>
        </w:rPr>
        <w:t xml:space="preserve"> is asked to show documentation, such as a W-2 form or pay stub, from a randomly selected client.  Proof of eligibility for other programs, such as reduced and free school lunches, that have income levels at or below that of CDBG, are also accepted. Limited Clientele: The client is qualified by “Presumed Benefit” if they are abused children, battered spouses, elderly, homeless, illiterate adults, </w:t>
      </w:r>
      <w:proofErr w:type="gramStart"/>
      <w:r>
        <w:rPr>
          <w:rFonts w:cs="Arial"/>
        </w:rPr>
        <w:t>persons</w:t>
      </w:r>
      <w:proofErr w:type="gramEnd"/>
      <w:r>
        <w:rPr>
          <w:rFonts w:cs="Arial"/>
        </w:rPr>
        <w:t xml:space="preserve"> living with AIDS, disabled adults, or migrant farm workers.  Subrecipients are asked to show proof that the client is in one of these groups.</w:t>
      </w:r>
    </w:p>
    <w:p w:rsidR="00E32F09" w:rsidRDefault="00550C26">
      <w:pPr>
        <w:widowControl w:val="0"/>
        <w:spacing w:beforeAutospacing="1" w:afterAutospacing="1"/>
        <w:rPr>
          <w:rFonts w:cs="Arial"/>
        </w:rPr>
      </w:pPr>
      <w:r>
        <w:rPr>
          <w:rFonts w:cs="Arial"/>
          <w:b/>
          <w:i/>
          <w:u w:val="single"/>
        </w:rPr>
        <w:t>Area Benefit:</w:t>
      </w:r>
      <w:r>
        <w:rPr>
          <w:rFonts w:cs="Arial"/>
        </w:rPr>
        <w:t xml:space="preserve"> The activity benefits all the residents of an area that is primarily residential and where at least 51 percent of the residents are of low to moderate income.  This is determined by use of Census data prior to the site-monitoring visit.</w:t>
      </w:r>
    </w:p>
    <w:p w:rsidR="00E32F09" w:rsidRDefault="00550C26">
      <w:pPr>
        <w:widowControl w:val="0"/>
        <w:spacing w:beforeAutospacing="1" w:afterAutospacing="1"/>
        <w:rPr>
          <w:rFonts w:cs="Arial"/>
        </w:rPr>
      </w:pPr>
      <w:r>
        <w:rPr>
          <w:rFonts w:cs="Arial"/>
          <w:i/>
        </w:rPr>
        <w:t xml:space="preserve"> </w:t>
      </w:r>
      <w:r>
        <w:rPr>
          <w:rFonts w:cs="Arial"/>
        </w:rPr>
        <w:t xml:space="preserve">The </w:t>
      </w:r>
      <w:proofErr w:type="spellStart"/>
      <w:r>
        <w:rPr>
          <w:rFonts w:cs="Arial"/>
        </w:rPr>
        <w:t>subrecipient</w:t>
      </w:r>
      <w:proofErr w:type="spellEnd"/>
      <w:r>
        <w:rPr>
          <w:rFonts w:cs="Arial"/>
        </w:rPr>
        <w:t xml:space="preserve"> is asked if financial and activity records are kept in an automated information system.  They are asked what files, datasets, or software are used.  If the records are maintained on paper, they are asked if the records are readily available and arranged in a logical order.  The </w:t>
      </w:r>
      <w:proofErr w:type="spellStart"/>
      <w:r>
        <w:rPr>
          <w:rFonts w:cs="Arial"/>
        </w:rPr>
        <w:t>subrecipients</w:t>
      </w:r>
      <w:proofErr w:type="spellEnd"/>
      <w:r>
        <w:rPr>
          <w:rFonts w:cs="Arial"/>
        </w:rPr>
        <w:t xml:space="preserve"> are asked how long records are kept.</w:t>
      </w:r>
    </w:p>
    <w:p w:rsidR="00E32F09" w:rsidRDefault="00550C26">
      <w:pPr>
        <w:widowControl w:val="0"/>
        <w:spacing w:beforeAutospacing="1" w:afterAutospacing="1"/>
        <w:rPr>
          <w:rFonts w:cs="Arial"/>
        </w:rPr>
      </w:pPr>
      <w:r>
        <w:rPr>
          <w:rFonts w:cs="Arial"/>
          <w:b/>
          <w:i/>
          <w:u w:val="single"/>
        </w:rPr>
        <w:t>Financial Management:</w:t>
      </w:r>
      <w:r>
        <w:rPr>
          <w:rFonts w:cs="Arial"/>
        </w:rPr>
        <w:t xml:space="preserve"> The </w:t>
      </w:r>
      <w:proofErr w:type="spellStart"/>
      <w:r>
        <w:rPr>
          <w:rFonts w:cs="Arial"/>
        </w:rPr>
        <w:t>subrecipient</w:t>
      </w:r>
      <w:proofErr w:type="spellEnd"/>
      <w:r>
        <w:rPr>
          <w:rFonts w:cs="Arial"/>
        </w:rPr>
        <w:t xml:space="preserve"> is asked if a separate budget or line item is kept for CDBG funds.  A randomly selected financial report submitted with the payment request is reviewed prior to the site visit.  The </w:t>
      </w:r>
      <w:proofErr w:type="spellStart"/>
      <w:r>
        <w:rPr>
          <w:rFonts w:cs="Arial"/>
        </w:rPr>
        <w:t>subrecipient</w:t>
      </w:r>
      <w:proofErr w:type="spellEnd"/>
      <w:r>
        <w:rPr>
          <w:rFonts w:cs="Arial"/>
        </w:rPr>
        <w:t xml:space="preserve"> is asked to show invoices, receipts, time sheets, etc. to support the report.</w:t>
      </w:r>
    </w:p>
    <w:p w:rsidR="00E32F09" w:rsidRDefault="00550C26">
      <w:pPr>
        <w:widowControl w:val="0"/>
        <w:spacing w:beforeAutospacing="1" w:afterAutospacing="1"/>
        <w:rPr>
          <w:rFonts w:cs="Arial"/>
        </w:rPr>
      </w:pPr>
      <w:r>
        <w:rPr>
          <w:rFonts w:cs="Arial"/>
          <w:b/>
          <w:i/>
          <w:u w:val="single"/>
        </w:rPr>
        <w:t>Procurement:</w:t>
      </w:r>
      <w:r>
        <w:rPr>
          <w:rFonts w:cs="Arial"/>
        </w:rPr>
        <w:t xml:space="preserve"> Durable goods purchased with CDBG funds are observed to determine if the items delivered correspond to purchase orders or invoices.  When reviewing purchase orders, checks, etc. it is determined if signatures are from authorized officials.</w:t>
      </w:r>
    </w:p>
    <w:p w:rsidR="00E32F09" w:rsidRDefault="00550C26">
      <w:pPr>
        <w:widowControl w:val="0"/>
        <w:rPr>
          <w:b/>
          <w:sz w:val="24"/>
          <w:szCs w:val="24"/>
        </w:rPr>
      </w:pPr>
      <w:r>
        <w:rPr>
          <w:b/>
          <w:sz w:val="24"/>
          <w:szCs w:val="24"/>
        </w:rPr>
        <w:t>Citizen Participation Plan 91.105(d); 91.115(d)</w:t>
      </w:r>
    </w:p>
    <w:p w:rsidR="00E32F09" w:rsidRDefault="00550C26">
      <w:pPr>
        <w:widowControl w:val="0"/>
        <w:rPr>
          <w:sz w:val="24"/>
          <w:szCs w:val="24"/>
        </w:rPr>
      </w:pPr>
      <w:r>
        <w:rPr>
          <w:b/>
          <w:sz w:val="24"/>
          <w:szCs w:val="24"/>
        </w:rPr>
        <w:t>Describe the efforts to provide citizens with reasonable notice and an opportunity to comment on performance reports</w:t>
      </w:r>
      <w:r>
        <w:rPr>
          <w:sz w:val="24"/>
          <w:szCs w:val="24"/>
        </w:rPr>
        <w:t>.</w:t>
      </w:r>
    </w:p>
    <w:p w:rsidR="00E32F09" w:rsidRDefault="00550C26">
      <w:pPr>
        <w:spacing w:beforeAutospacing="1" w:afterAutospacing="1"/>
      </w:pPr>
      <w:r>
        <w:t>A notice was published in the local newspaper (Pres</w:t>
      </w:r>
      <w:r w:rsidR="00C23539">
        <w:t>s &amp; Sun Bulletin) on Sunday, November 6</w:t>
      </w:r>
      <w:r w:rsidR="00C23539" w:rsidRPr="00C23539">
        <w:rPr>
          <w:vertAlign w:val="superscript"/>
        </w:rPr>
        <w:t>th</w:t>
      </w:r>
      <w:r>
        <w:t xml:space="preserve"> announcing the availab</w:t>
      </w:r>
      <w:r w:rsidR="00C23539">
        <w:t>ility of the CAPER on December 7</w:t>
      </w:r>
      <w:r>
        <w:t>th for public comment.  The notice provided the required minimum 15-day comment period.  A public notice was also posted on the Town of Union web page (www.</w:t>
      </w:r>
      <w:r w:rsidR="00C23539">
        <w:t>townofunion.com) on Monday, October 31, 2022</w:t>
      </w:r>
      <w:r>
        <w:t>.  The notice included a link to the report.  The public was also provided with an opportunity to comme</w:t>
      </w:r>
      <w:r w:rsidR="00C23539">
        <w:t>nt at the December 7, 2022</w:t>
      </w:r>
      <w:r>
        <w:t xml:space="preserve"> Town Board meeting during the Hearing of Visitors portion of the agenda. No comments were received at the Town Board meeting prior to the approval of the report.</w:t>
      </w:r>
    </w:p>
    <w:p w:rsidR="00E32F09" w:rsidRDefault="00550C26">
      <w:pPr>
        <w:rPr>
          <w:b/>
          <w:i/>
          <w:sz w:val="28"/>
          <w:szCs w:val="28"/>
        </w:rPr>
      </w:pPr>
      <w:r>
        <w:rPr>
          <w:b/>
          <w:sz w:val="28"/>
          <w:szCs w:val="28"/>
        </w:rPr>
        <w:t>CR-45 - CDBG 91.520(c)</w:t>
      </w:r>
    </w:p>
    <w:p w:rsidR="00E32F09" w:rsidRDefault="00550C26">
      <w:pPr>
        <w:widowControl w:val="0"/>
        <w:rPr>
          <w:b/>
          <w:sz w:val="24"/>
          <w:szCs w:val="24"/>
        </w:rPr>
      </w:pPr>
      <w:r>
        <w:rPr>
          <w:b/>
          <w:sz w:val="24"/>
          <w:szCs w:val="24"/>
        </w:rPr>
        <w:t>Specify the nature of, and reasons for, any changes in the jurisdiction’s program objectives and indications of how the jurisdiction would change its programs as a result of its experiences.</w:t>
      </w:r>
    </w:p>
    <w:p w:rsidR="00E32F09" w:rsidRDefault="00550C26">
      <w:pPr>
        <w:widowControl w:val="0"/>
        <w:spacing w:beforeAutospacing="1" w:afterAutospacing="1"/>
        <w:rPr>
          <w:rFonts w:cs="Arial"/>
        </w:rPr>
      </w:pPr>
      <w:r>
        <w:rPr>
          <w:rFonts w:cs="Arial"/>
        </w:rPr>
        <w:t>The town has not made any major changes in program objectives during the past fiscal year nor are any significant changes proposed at this time. It should be noted that the town's P</w:t>
      </w:r>
      <w:r w:rsidR="002329AA">
        <w:rPr>
          <w:rFonts w:cs="Arial"/>
        </w:rPr>
        <w:t>lanning Director Christopher Kylor</w:t>
      </w:r>
      <w:r>
        <w:rPr>
          <w:rFonts w:cs="Arial"/>
        </w:rPr>
        <w:t xml:space="preserve">, who has overseen </w:t>
      </w:r>
      <w:r w:rsidR="002329AA">
        <w:rPr>
          <w:rFonts w:cs="Arial"/>
        </w:rPr>
        <w:t>the CDBG program for the past 9 months</w:t>
      </w:r>
      <w:r>
        <w:rPr>
          <w:rFonts w:cs="Arial"/>
        </w:rPr>
        <w:t>, is</w:t>
      </w:r>
      <w:r w:rsidR="002329AA">
        <w:rPr>
          <w:rFonts w:cs="Arial"/>
        </w:rPr>
        <w:t xml:space="preserve"> continuing to work with CT Male Associates for CDBG training and guidance and Sara Zubalsky-Peer for Housing Choice Voucher &amp; Section 8 training and guidance. </w:t>
      </w:r>
    </w:p>
    <w:p w:rsidR="00E32F09" w:rsidRDefault="00550C26">
      <w:pPr>
        <w:widowControl w:val="0"/>
        <w:rPr>
          <w:b/>
          <w:sz w:val="24"/>
          <w:szCs w:val="24"/>
        </w:rPr>
      </w:pPr>
      <w:r>
        <w:rPr>
          <w:b/>
          <w:sz w:val="24"/>
          <w:szCs w:val="24"/>
        </w:rPr>
        <w:t>Does this Jurisdiction have any open Brownfields Economic Development Initiative (BEDI) grants?</w:t>
      </w:r>
    </w:p>
    <w:p w:rsidR="00E32F09" w:rsidRDefault="00550C26">
      <w:pPr>
        <w:widowControl w:val="0"/>
        <w:spacing w:beforeAutospacing="1" w:afterAutospacing="1"/>
        <w:rPr>
          <w:rFonts w:cs="Arial"/>
        </w:rPr>
      </w:pPr>
      <w:r>
        <w:rPr>
          <w:rFonts w:cs="Arial"/>
        </w:rPr>
        <w:t>No</w:t>
      </w:r>
    </w:p>
    <w:p w:rsidR="00E32F09" w:rsidRDefault="00550C26">
      <w:pPr>
        <w:widowControl w:val="0"/>
        <w:rPr>
          <w:b/>
          <w:sz w:val="24"/>
          <w:szCs w:val="24"/>
        </w:rPr>
      </w:pPr>
      <w:r>
        <w:rPr>
          <w:b/>
          <w:sz w:val="24"/>
          <w:szCs w:val="24"/>
        </w:rPr>
        <w:t xml:space="preserve"> [BEDI grantees]  Describe accomplishments and program outcomes during the last year.</w:t>
      </w:r>
    </w:p>
    <w:p w:rsidR="00E32F09" w:rsidRDefault="00193518">
      <w:pPr>
        <w:widowControl w:val="0"/>
        <w:rPr>
          <w:rFonts w:cs="Arial"/>
        </w:rPr>
      </w:pPr>
      <w:r>
        <w:rPr>
          <w:rFonts w:cs="Arial"/>
        </w:rPr>
        <w:t>Does not apply.</w:t>
      </w:r>
    </w:p>
    <w:p w:rsidR="00E32F09" w:rsidRDefault="00E32F09"/>
    <w:p w:rsidR="00E32F09" w:rsidRDefault="00550C26">
      <w:pPr>
        <w:keepNext/>
        <w:pageBreakBefore/>
        <w:widowControl w:val="0"/>
        <w:spacing w:before="240" w:after="60"/>
        <w:outlineLvl w:val="1"/>
        <w:rPr>
          <w:rFonts w:cs="Arial"/>
          <w:b/>
          <w:bCs/>
          <w:iCs/>
          <w:sz w:val="28"/>
          <w:szCs w:val="28"/>
        </w:rPr>
      </w:pPr>
      <w:r>
        <w:rPr>
          <w:rFonts w:cs="Arial"/>
          <w:b/>
          <w:bCs/>
          <w:iCs/>
          <w:sz w:val="28"/>
          <w:szCs w:val="28"/>
        </w:rPr>
        <w:t>CR-45 - CDBG 91.520(c)</w:t>
      </w:r>
    </w:p>
    <w:p w:rsidR="00E32F09" w:rsidRDefault="00550C26">
      <w:pPr>
        <w:widowControl w:val="0"/>
        <w:rPr>
          <w:b/>
          <w:sz w:val="24"/>
          <w:szCs w:val="24"/>
        </w:rPr>
      </w:pPr>
      <w:r>
        <w:rPr>
          <w:b/>
          <w:sz w:val="24"/>
          <w:szCs w:val="24"/>
        </w:rPr>
        <w:t>Specify the nature of, and reasons for, any changes in the jurisdiction’s program objectives and indications of how the jurisdiction would change its programs as a result of its experiences.</w:t>
      </w:r>
    </w:p>
    <w:p w:rsidR="00E32F09" w:rsidRDefault="00550C26">
      <w:pPr>
        <w:widowControl w:val="0"/>
        <w:spacing w:beforeAutospacing="1" w:afterAutospacing="1"/>
        <w:rPr>
          <w:rFonts w:cs="Arial"/>
        </w:rPr>
      </w:pPr>
      <w:r>
        <w:rPr>
          <w:rFonts w:cs="Arial"/>
        </w:rPr>
        <w:t>The town has not made any major changes in program objectives during the past fiscal year nor are any significant changes proposed at this time. It should be noted that the town</w:t>
      </w:r>
      <w:r w:rsidR="00371076">
        <w:rPr>
          <w:rFonts w:cs="Arial"/>
        </w:rPr>
        <w:t>'s Planning Director Christopher Kylor</w:t>
      </w:r>
      <w:r>
        <w:rPr>
          <w:rFonts w:cs="Arial"/>
        </w:rPr>
        <w:t xml:space="preserve">, who has overseen </w:t>
      </w:r>
      <w:r w:rsidR="00371076">
        <w:rPr>
          <w:rFonts w:cs="Arial"/>
        </w:rPr>
        <w:t xml:space="preserve">the CDBG program for the past 9 months, is continuing to work with CT Male Associates for CDBG training and guidance and Sara Zubalsky-Peer for Housing Choice Voucher &amp; Section 8 training and guidance. </w:t>
      </w:r>
    </w:p>
    <w:sectPr w:rsidR="00E32F09" w:rsidSect="00493F19">
      <w:pgSz w:w="12240" w:h="15840" w:code="1"/>
      <w:pgMar w:top="1440" w:right="1440" w:bottom="1440" w:left="1440" w:header="720" w:footer="720"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2CE" w:rsidRDefault="00F112CE">
      <w:r>
        <w:separator/>
      </w:r>
    </w:p>
  </w:endnote>
  <w:endnote w:type="continuationSeparator" w:id="0">
    <w:p w:rsidR="00F112CE" w:rsidRDefault="00F1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F112CE">
      <w:trPr>
        <w:jc w:val="center"/>
      </w:trPr>
      <w:tc>
        <w:tcPr>
          <w:tcW w:w="828" w:type="dxa"/>
        </w:tcPr>
        <w:p w:rsidR="00F112CE" w:rsidRDefault="00F112CE">
          <w:pPr>
            <w:pStyle w:val="Footer"/>
            <w:spacing w:after="0" w:line="240" w:lineRule="auto"/>
            <w:jc w:val="center"/>
          </w:pPr>
        </w:p>
      </w:tc>
      <w:tc>
        <w:tcPr>
          <w:tcW w:w="7976" w:type="dxa"/>
        </w:tcPr>
        <w:p w:rsidR="00F112CE" w:rsidRDefault="00F112CE" w:rsidP="00C60E74">
          <w:pPr>
            <w:pStyle w:val="Footer"/>
            <w:spacing w:after="0" w:line="240" w:lineRule="auto"/>
            <w:jc w:val="center"/>
          </w:pPr>
          <w:r>
            <w:t>CAPER 2021</w:t>
          </w:r>
        </w:p>
      </w:tc>
      <w:tc>
        <w:tcPr>
          <w:tcW w:w="772" w:type="dxa"/>
        </w:tcPr>
        <w:p w:rsidR="00F112CE" w:rsidRDefault="00F112CE">
          <w:pPr>
            <w:pStyle w:val="Footer"/>
            <w:spacing w:after="0" w:line="240" w:lineRule="auto"/>
            <w:jc w:val="right"/>
          </w:pPr>
          <w:r>
            <w:fldChar w:fldCharType="begin"/>
          </w:r>
          <w:r>
            <w:instrText>page</w:instrText>
          </w:r>
          <w:r>
            <w:fldChar w:fldCharType="separate"/>
          </w:r>
          <w:r w:rsidR="00B61868">
            <w:rPr>
              <w:noProof/>
            </w:rPr>
            <w:t>1</w:t>
          </w:r>
          <w:r>
            <w:fldChar w:fldCharType="end"/>
          </w:r>
        </w:p>
      </w:tc>
    </w:tr>
  </w:tbl>
  <w:p w:rsidR="00F112CE" w:rsidRDefault="00F112CE">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2CE" w:rsidRDefault="00F112CE">
      <w:r>
        <w:separator/>
      </w:r>
    </w:p>
  </w:footnote>
  <w:footnote w:type="continuationSeparator" w:id="0">
    <w:p w:rsidR="00F112CE" w:rsidRDefault="00F11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8E9"/>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87C6B"/>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1CA0"/>
    <w:rsid w:val="000C20FC"/>
    <w:rsid w:val="000C23F6"/>
    <w:rsid w:val="000C265E"/>
    <w:rsid w:val="000C3ACA"/>
    <w:rsid w:val="000C5470"/>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6AB8"/>
    <w:rsid w:val="00117AB9"/>
    <w:rsid w:val="00117CAF"/>
    <w:rsid w:val="00120904"/>
    <w:rsid w:val="00123B67"/>
    <w:rsid w:val="001244C5"/>
    <w:rsid w:val="00124E85"/>
    <w:rsid w:val="00125428"/>
    <w:rsid w:val="001256A9"/>
    <w:rsid w:val="001256B0"/>
    <w:rsid w:val="00125FCA"/>
    <w:rsid w:val="00126022"/>
    <w:rsid w:val="001261A0"/>
    <w:rsid w:val="001274C4"/>
    <w:rsid w:val="00132B0C"/>
    <w:rsid w:val="00132CEA"/>
    <w:rsid w:val="00133EA4"/>
    <w:rsid w:val="00134B79"/>
    <w:rsid w:val="0013545A"/>
    <w:rsid w:val="00135B76"/>
    <w:rsid w:val="00135EA7"/>
    <w:rsid w:val="00136724"/>
    <w:rsid w:val="00136BB5"/>
    <w:rsid w:val="00137DF0"/>
    <w:rsid w:val="00141F8B"/>
    <w:rsid w:val="001426D3"/>
    <w:rsid w:val="001442FB"/>
    <w:rsid w:val="001452F7"/>
    <w:rsid w:val="0014572F"/>
    <w:rsid w:val="001460FB"/>
    <w:rsid w:val="0014790F"/>
    <w:rsid w:val="0015000D"/>
    <w:rsid w:val="00150082"/>
    <w:rsid w:val="001501DB"/>
    <w:rsid w:val="00150A50"/>
    <w:rsid w:val="00150B00"/>
    <w:rsid w:val="00151FDE"/>
    <w:rsid w:val="001539D4"/>
    <w:rsid w:val="0015548F"/>
    <w:rsid w:val="00156045"/>
    <w:rsid w:val="00156205"/>
    <w:rsid w:val="00156686"/>
    <w:rsid w:val="00157867"/>
    <w:rsid w:val="00157D8A"/>
    <w:rsid w:val="00157DD0"/>
    <w:rsid w:val="0016089C"/>
    <w:rsid w:val="00160AC1"/>
    <w:rsid w:val="00162077"/>
    <w:rsid w:val="0016267E"/>
    <w:rsid w:val="00162A99"/>
    <w:rsid w:val="00163BA8"/>
    <w:rsid w:val="0016480C"/>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518"/>
    <w:rsid w:val="00193AF0"/>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263C"/>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3C89"/>
    <w:rsid w:val="00204041"/>
    <w:rsid w:val="00204CFE"/>
    <w:rsid w:val="00204E13"/>
    <w:rsid w:val="00205644"/>
    <w:rsid w:val="00205CCE"/>
    <w:rsid w:val="00206A5E"/>
    <w:rsid w:val="00207A05"/>
    <w:rsid w:val="00210BE4"/>
    <w:rsid w:val="002111DD"/>
    <w:rsid w:val="002116BD"/>
    <w:rsid w:val="0021290C"/>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017"/>
    <w:rsid w:val="002266F1"/>
    <w:rsid w:val="002267F1"/>
    <w:rsid w:val="00226B59"/>
    <w:rsid w:val="00230EF6"/>
    <w:rsid w:val="002311BD"/>
    <w:rsid w:val="002323D0"/>
    <w:rsid w:val="002329AA"/>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792C"/>
    <w:rsid w:val="002879F1"/>
    <w:rsid w:val="0029055A"/>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3AD6"/>
    <w:rsid w:val="002A4896"/>
    <w:rsid w:val="002A49B8"/>
    <w:rsid w:val="002A4D9A"/>
    <w:rsid w:val="002A4E8C"/>
    <w:rsid w:val="002A5179"/>
    <w:rsid w:val="002A57D8"/>
    <w:rsid w:val="002A5D07"/>
    <w:rsid w:val="002A7146"/>
    <w:rsid w:val="002B260A"/>
    <w:rsid w:val="002B2C92"/>
    <w:rsid w:val="002B57CF"/>
    <w:rsid w:val="002B67A3"/>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C1B"/>
    <w:rsid w:val="003138AA"/>
    <w:rsid w:val="00313917"/>
    <w:rsid w:val="00314B0B"/>
    <w:rsid w:val="003156F5"/>
    <w:rsid w:val="00316098"/>
    <w:rsid w:val="003163F3"/>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948"/>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BC6"/>
    <w:rsid w:val="00362BEC"/>
    <w:rsid w:val="003636A4"/>
    <w:rsid w:val="00365CE8"/>
    <w:rsid w:val="00367870"/>
    <w:rsid w:val="00370741"/>
    <w:rsid w:val="00371076"/>
    <w:rsid w:val="0037146A"/>
    <w:rsid w:val="0037176A"/>
    <w:rsid w:val="00371907"/>
    <w:rsid w:val="00375479"/>
    <w:rsid w:val="0037664B"/>
    <w:rsid w:val="003767F8"/>
    <w:rsid w:val="0037754F"/>
    <w:rsid w:val="00377AC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4E"/>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E5"/>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4A54"/>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66F0"/>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36FA"/>
    <w:rsid w:val="004845FB"/>
    <w:rsid w:val="004854F8"/>
    <w:rsid w:val="0048572B"/>
    <w:rsid w:val="004871B3"/>
    <w:rsid w:val="00487807"/>
    <w:rsid w:val="00487944"/>
    <w:rsid w:val="00490153"/>
    <w:rsid w:val="00490C37"/>
    <w:rsid w:val="00491266"/>
    <w:rsid w:val="004914A6"/>
    <w:rsid w:val="00491EC7"/>
    <w:rsid w:val="00492522"/>
    <w:rsid w:val="00492CAF"/>
    <w:rsid w:val="00493F19"/>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6505"/>
    <w:rsid w:val="004B757F"/>
    <w:rsid w:val="004C0183"/>
    <w:rsid w:val="004C0761"/>
    <w:rsid w:val="004C125A"/>
    <w:rsid w:val="004C1830"/>
    <w:rsid w:val="004C1F49"/>
    <w:rsid w:val="004C23A2"/>
    <w:rsid w:val="004C2625"/>
    <w:rsid w:val="004C280F"/>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1B30"/>
    <w:rsid w:val="004F2470"/>
    <w:rsid w:val="004F2C10"/>
    <w:rsid w:val="004F2D29"/>
    <w:rsid w:val="004F34A6"/>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0A49"/>
    <w:rsid w:val="005417CD"/>
    <w:rsid w:val="00541E39"/>
    <w:rsid w:val="00542D7E"/>
    <w:rsid w:val="00543389"/>
    <w:rsid w:val="005438C6"/>
    <w:rsid w:val="00543C52"/>
    <w:rsid w:val="0054621E"/>
    <w:rsid w:val="00550C26"/>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503"/>
    <w:rsid w:val="00571641"/>
    <w:rsid w:val="005720BF"/>
    <w:rsid w:val="00572D29"/>
    <w:rsid w:val="00572D3B"/>
    <w:rsid w:val="00572D8A"/>
    <w:rsid w:val="00572E71"/>
    <w:rsid w:val="005736E3"/>
    <w:rsid w:val="00575829"/>
    <w:rsid w:val="00575E1B"/>
    <w:rsid w:val="005769C5"/>
    <w:rsid w:val="00576C00"/>
    <w:rsid w:val="00580275"/>
    <w:rsid w:val="005803CD"/>
    <w:rsid w:val="00580B63"/>
    <w:rsid w:val="005816FC"/>
    <w:rsid w:val="00581869"/>
    <w:rsid w:val="005838F8"/>
    <w:rsid w:val="00583B84"/>
    <w:rsid w:val="00583D2D"/>
    <w:rsid w:val="00583F9E"/>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341"/>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0516"/>
    <w:rsid w:val="005E1EE9"/>
    <w:rsid w:val="005E3318"/>
    <w:rsid w:val="005E4A61"/>
    <w:rsid w:val="005E53B1"/>
    <w:rsid w:val="005E5820"/>
    <w:rsid w:val="005E5FE4"/>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06CF8"/>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A8B"/>
    <w:rsid w:val="00645C20"/>
    <w:rsid w:val="00646E5D"/>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07C0"/>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67E"/>
    <w:rsid w:val="006817C2"/>
    <w:rsid w:val="00681CD4"/>
    <w:rsid w:val="0068211C"/>
    <w:rsid w:val="0068250F"/>
    <w:rsid w:val="006827E4"/>
    <w:rsid w:val="00684BBD"/>
    <w:rsid w:val="006851AB"/>
    <w:rsid w:val="006867F9"/>
    <w:rsid w:val="00686948"/>
    <w:rsid w:val="00690452"/>
    <w:rsid w:val="00691CC4"/>
    <w:rsid w:val="0069273F"/>
    <w:rsid w:val="00693BED"/>
    <w:rsid w:val="00693C5B"/>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75E9"/>
    <w:rsid w:val="007577DC"/>
    <w:rsid w:val="0076214F"/>
    <w:rsid w:val="00764377"/>
    <w:rsid w:val="007649B9"/>
    <w:rsid w:val="00765FC2"/>
    <w:rsid w:val="007678DC"/>
    <w:rsid w:val="00770B75"/>
    <w:rsid w:val="007714FF"/>
    <w:rsid w:val="00771668"/>
    <w:rsid w:val="007724C7"/>
    <w:rsid w:val="00772BE1"/>
    <w:rsid w:val="007730F1"/>
    <w:rsid w:val="007737B6"/>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45CE"/>
    <w:rsid w:val="007A55B0"/>
    <w:rsid w:val="007A65AE"/>
    <w:rsid w:val="007A678D"/>
    <w:rsid w:val="007A6A94"/>
    <w:rsid w:val="007A6C54"/>
    <w:rsid w:val="007A6E48"/>
    <w:rsid w:val="007A705F"/>
    <w:rsid w:val="007A78FE"/>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54D9"/>
    <w:rsid w:val="007F6A7A"/>
    <w:rsid w:val="007F78B0"/>
    <w:rsid w:val="007F7C1B"/>
    <w:rsid w:val="007F7C6E"/>
    <w:rsid w:val="007F7CEF"/>
    <w:rsid w:val="0080044F"/>
    <w:rsid w:val="00800C2E"/>
    <w:rsid w:val="00802DDE"/>
    <w:rsid w:val="008032DD"/>
    <w:rsid w:val="0080435B"/>
    <w:rsid w:val="008052B0"/>
    <w:rsid w:val="00805D85"/>
    <w:rsid w:val="00806546"/>
    <w:rsid w:val="00807513"/>
    <w:rsid w:val="008077ED"/>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39A6"/>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5ACA"/>
    <w:rsid w:val="008E663F"/>
    <w:rsid w:val="008E67CE"/>
    <w:rsid w:val="008E6929"/>
    <w:rsid w:val="008E69BF"/>
    <w:rsid w:val="008E7958"/>
    <w:rsid w:val="008E7DE7"/>
    <w:rsid w:val="008F0ABB"/>
    <w:rsid w:val="008F1200"/>
    <w:rsid w:val="008F1C35"/>
    <w:rsid w:val="008F1EF5"/>
    <w:rsid w:val="008F356B"/>
    <w:rsid w:val="008F38C7"/>
    <w:rsid w:val="008F3C4D"/>
    <w:rsid w:val="008F62AC"/>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216"/>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A7E06"/>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5CFD"/>
    <w:rsid w:val="009D624F"/>
    <w:rsid w:val="009D694A"/>
    <w:rsid w:val="009E0C7F"/>
    <w:rsid w:val="009E1997"/>
    <w:rsid w:val="009E1CE8"/>
    <w:rsid w:val="009E3539"/>
    <w:rsid w:val="009E4092"/>
    <w:rsid w:val="009E4956"/>
    <w:rsid w:val="009E60E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0D5C"/>
    <w:rsid w:val="00A015E5"/>
    <w:rsid w:val="00A01D56"/>
    <w:rsid w:val="00A040C3"/>
    <w:rsid w:val="00A042C1"/>
    <w:rsid w:val="00A048BC"/>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1BEA"/>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28B"/>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B27"/>
    <w:rsid w:val="00AE6801"/>
    <w:rsid w:val="00AE6E53"/>
    <w:rsid w:val="00AE6EDD"/>
    <w:rsid w:val="00AF0987"/>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0399"/>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5B7"/>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1868"/>
    <w:rsid w:val="00B6238A"/>
    <w:rsid w:val="00B627F4"/>
    <w:rsid w:val="00B62912"/>
    <w:rsid w:val="00B62AD5"/>
    <w:rsid w:val="00B65B37"/>
    <w:rsid w:val="00B72325"/>
    <w:rsid w:val="00B72880"/>
    <w:rsid w:val="00B73637"/>
    <w:rsid w:val="00B73A57"/>
    <w:rsid w:val="00B73E0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3FE"/>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414"/>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4B7E"/>
    <w:rsid w:val="00C14C1B"/>
    <w:rsid w:val="00C15218"/>
    <w:rsid w:val="00C15387"/>
    <w:rsid w:val="00C16DF1"/>
    <w:rsid w:val="00C17326"/>
    <w:rsid w:val="00C21726"/>
    <w:rsid w:val="00C21B95"/>
    <w:rsid w:val="00C22435"/>
    <w:rsid w:val="00C22E4F"/>
    <w:rsid w:val="00C23539"/>
    <w:rsid w:val="00C23C1E"/>
    <w:rsid w:val="00C24966"/>
    <w:rsid w:val="00C24A4E"/>
    <w:rsid w:val="00C25464"/>
    <w:rsid w:val="00C26E07"/>
    <w:rsid w:val="00C27666"/>
    <w:rsid w:val="00C3007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F79"/>
    <w:rsid w:val="00C52FFB"/>
    <w:rsid w:val="00C541DF"/>
    <w:rsid w:val="00C55BB0"/>
    <w:rsid w:val="00C563DA"/>
    <w:rsid w:val="00C6058A"/>
    <w:rsid w:val="00C60E74"/>
    <w:rsid w:val="00C61D7F"/>
    <w:rsid w:val="00C644E8"/>
    <w:rsid w:val="00C64F2A"/>
    <w:rsid w:val="00C67F18"/>
    <w:rsid w:val="00C70692"/>
    <w:rsid w:val="00C709C9"/>
    <w:rsid w:val="00C74624"/>
    <w:rsid w:val="00C7467C"/>
    <w:rsid w:val="00C7477A"/>
    <w:rsid w:val="00C82706"/>
    <w:rsid w:val="00C82A59"/>
    <w:rsid w:val="00C82A62"/>
    <w:rsid w:val="00C83B74"/>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147"/>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4C01"/>
    <w:rsid w:val="00D45375"/>
    <w:rsid w:val="00D4548E"/>
    <w:rsid w:val="00D46D9A"/>
    <w:rsid w:val="00D47A86"/>
    <w:rsid w:val="00D500E2"/>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3EC5"/>
    <w:rsid w:val="00D943C4"/>
    <w:rsid w:val="00D94546"/>
    <w:rsid w:val="00D962EA"/>
    <w:rsid w:val="00D9647E"/>
    <w:rsid w:val="00D96BBA"/>
    <w:rsid w:val="00D975BC"/>
    <w:rsid w:val="00D977B0"/>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126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1FFE"/>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2F09"/>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34A8"/>
    <w:rsid w:val="00EA47C5"/>
    <w:rsid w:val="00EA556F"/>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12CE"/>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274"/>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0F37"/>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3E"/>
    <w:rsid w:val="00FF20F3"/>
    <w:rsid w:val="00FF3E1E"/>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27295"/>
  <w15:docId w15:val="{A1D356EF-5CC8-4066-8256-A956DB28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 w:type="paragraph" w:styleId="Title">
    <w:name w:val="Title"/>
    <w:basedOn w:val="Normal"/>
    <w:next w:val="Normal"/>
    <w:link w:val="TitleChar"/>
    <w:uiPriority w:val="10"/>
    <w:qFormat/>
    <w:locked/>
    <w:rsid w:val="00493F19"/>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493F19"/>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locked/>
    <w:rsid w:val="00493F19"/>
    <w:pPr>
      <w:numPr>
        <w:ilvl w:val="1"/>
      </w:numPr>
      <w:spacing w:after="160" w:line="259" w:lineRule="auto"/>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493F19"/>
    <w:rPr>
      <w:rFonts w:asciiTheme="minorHAnsi" w:eastAsiaTheme="minorEastAsia" w:hAnsiTheme="minorHAnsi"/>
      <w:color w:val="5A5A5A" w:themeColor="text1" w:themeTint="A5"/>
      <w:spacing w:val="15"/>
    </w:rPr>
  </w:style>
  <w:style w:type="table" w:styleId="GridTable3-Accent5">
    <w:name w:val="Grid Table 3 Accent 5"/>
    <w:basedOn w:val="TableNormal"/>
    <w:uiPriority w:val="48"/>
    <w:rsid w:val="00B445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2-Accent5">
    <w:name w:val="Grid Table 2 Accent 5"/>
    <w:basedOn w:val="TableNormal"/>
    <w:uiPriority w:val="47"/>
    <w:rsid w:val="00B445B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1">
    <w:name w:val="Grid Table 5 Dark Accent 1"/>
    <w:basedOn w:val="TableNormal"/>
    <w:uiPriority w:val="50"/>
    <w:rsid w:val="00B445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2683">
      <w:bodyDiv w:val="1"/>
      <w:marLeft w:val="0"/>
      <w:marRight w:val="0"/>
      <w:marTop w:val="0"/>
      <w:marBottom w:val="0"/>
      <w:divBdr>
        <w:top w:val="none" w:sz="0" w:space="0" w:color="auto"/>
        <w:left w:val="none" w:sz="0" w:space="0" w:color="auto"/>
        <w:bottom w:val="none" w:sz="0" w:space="0" w:color="auto"/>
        <w:right w:val="none" w:sz="0" w:space="0" w:color="auto"/>
      </w:divBdr>
    </w:div>
    <w:div w:id="420956462">
      <w:bodyDiv w:val="1"/>
      <w:marLeft w:val="0"/>
      <w:marRight w:val="0"/>
      <w:marTop w:val="0"/>
      <w:marBottom w:val="0"/>
      <w:divBdr>
        <w:top w:val="none" w:sz="0" w:space="0" w:color="auto"/>
        <w:left w:val="none" w:sz="0" w:space="0" w:color="auto"/>
        <w:bottom w:val="none" w:sz="0" w:space="0" w:color="auto"/>
        <w:right w:val="none" w:sz="0" w:space="0" w:color="auto"/>
      </w:divBdr>
    </w:div>
    <w:div w:id="789204372">
      <w:bodyDiv w:val="1"/>
      <w:marLeft w:val="0"/>
      <w:marRight w:val="0"/>
      <w:marTop w:val="0"/>
      <w:marBottom w:val="0"/>
      <w:divBdr>
        <w:top w:val="none" w:sz="0" w:space="0" w:color="auto"/>
        <w:left w:val="none" w:sz="0" w:space="0" w:color="auto"/>
        <w:bottom w:val="none" w:sz="0" w:space="0" w:color="auto"/>
        <w:right w:val="none" w:sz="0" w:space="0" w:color="auto"/>
      </w:divBdr>
    </w:div>
    <w:div w:id="1050765081">
      <w:bodyDiv w:val="1"/>
      <w:marLeft w:val="0"/>
      <w:marRight w:val="0"/>
      <w:marTop w:val="0"/>
      <w:marBottom w:val="0"/>
      <w:divBdr>
        <w:top w:val="none" w:sz="0" w:space="0" w:color="auto"/>
        <w:left w:val="none" w:sz="0" w:space="0" w:color="auto"/>
        <w:bottom w:val="none" w:sz="0" w:space="0" w:color="auto"/>
        <w:right w:val="none" w:sz="0" w:space="0" w:color="auto"/>
      </w:divBdr>
    </w:div>
    <w:div w:id="1879539703">
      <w:bodyDiv w:val="1"/>
      <w:marLeft w:val="0"/>
      <w:marRight w:val="0"/>
      <w:marTop w:val="0"/>
      <w:marBottom w:val="0"/>
      <w:divBdr>
        <w:top w:val="none" w:sz="0" w:space="0" w:color="auto"/>
        <w:left w:val="none" w:sz="0" w:space="0" w:color="auto"/>
        <w:bottom w:val="none" w:sz="0" w:space="0" w:color="auto"/>
        <w:right w:val="none" w:sz="0" w:space="0" w:color="auto"/>
      </w:divBdr>
    </w:div>
    <w:div w:id="21284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Prepared By: Town of Union Department of Planning|3111 E. Main St.| Endwell, NY 13760</Abstract>
  <CompanyAddress/>
  <CompanyPhone/>
  <CompanyFax/>
  <CompanyEmail/>
</CoverPageProperties>
</file>

<file path=customXml/item2.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9AE0B3-2F30-4C81-A905-89CD18DA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5549</TotalTime>
  <Pages>21</Pages>
  <Words>5258</Words>
  <Characters>29975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Town of Union New York</vt:lpstr>
    </vt:vector>
  </TitlesOfParts>
  <Company>Microsoft</Company>
  <LinksUpToDate>false</LinksUpToDate>
  <CharactersWithSpaces>35163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Union New York</dc:title>
  <dc:subject>FEDERAL FISCAL YEAR 2021 CONSOLIDATED ANNUAL PERFORMANCE &amp; EVALUATION REPORT</dc:subject>
  <dc:creator>Rocio</dc:creator>
  <cp:lastModifiedBy>Christopher Kylor</cp:lastModifiedBy>
  <cp:revision>57</cp:revision>
  <cp:lastPrinted>2022-12-02T18:28:00Z</cp:lastPrinted>
  <dcterms:created xsi:type="dcterms:W3CDTF">2022-11-21T17:50:00Z</dcterms:created>
  <dcterms:modified xsi:type="dcterms:W3CDTF">2022-12-05T17:28:00Z</dcterms:modified>
</cp:coreProperties>
</file>